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89" w:rsidRDefault="00163E89">
      <w:pPr>
        <w:tabs>
          <w:tab w:val="center" w:pos="4680"/>
        </w:tabs>
        <w:suppressAutoHyphens/>
        <w:jc w:val="center"/>
        <w:rPr>
          <w:b/>
          <w:sz w:val="36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7452"/>
      </w:tblGrid>
      <w:tr w:rsidR="00163E89">
        <w:trPr>
          <w:cantSplit/>
          <w:trHeight w:val="975"/>
          <w:jc w:val="center"/>
        </w:trPr>
        <w:tc>
          <w:tcPr>
            <w:tcW w:w="1872" w:type="dxa"/>
            <w:vMerge w:val="restart"/>
          </w:tcPr>
          <w:p w:rsidR="00163E89" w:rsidRDefault="000B61B6">
            <w:pPr>
              <w:tabs>
                <w:tab w:val="center" w:pos="4680"/>
              </w:tabs>
              <w:suppressAutoHyphens/>
              <w:jc w:val="center"/>
              <w:rPr>
                <w:sz w:val="36"/>
              </w:rPr>
            </w:pPr>
            <w:r>
              <w:rPr>
                <w:noProof/>
                <w:sz w:val="36"/>
              </w:rPr>
              <w:drawing>
                <wp:inline distT="0" distB="0" distL="0" distR="0">
                  <wp:extent cx="1038225" cy="981075"/>
                  <wp:effectExtent l="19050" t="0" r="9525" b="0"/>
                  <wp:docPr id="1" name="Picture 1" descr="dpn_graph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pn_graph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  <w:shd w:val="pct25" w:color="auto" w:fill="FFFFFF"/>
            <w:vAlign w:val="center"/>
          </w:tcPr>
          <w:p w:rsidR="00163E89" w:rsidRDefault="00163E89">
            <w:pPr>
              <w:tabs>
                <w:tab w:val="center" w:pos="4680"/>
              </w:tabs>
              <w:suppressAutoHyphens/>
              <w:rPr>
                <w:sz w:val="36"/>
              </w:rPr>
            </w:pPr>
            <w:r>
              <w:rPr>
                <w:rFonts w:ascii="Times New Roman" w:hAnsi="Times New Roman"/>
                <w:sz w:val="44"/>
              </w:rPr>
              <w:t>Disability Program Notes</w:t>
            </w:r>
          </w:p>
        </w:tc>
      </w:tr>
      <w:tr w:rsidR="00163E89">
        <w:trPr>
          <w:cantSplit/>
          <w:trHeight w:val="453"/>
          <w:jc w:val="center"/>
        </w:trPr>
        <w:tc>
          <w:tcPr>
            <w:tcW w:w="1872" w:type="dxa"/>
            <w:vMerge/>
          </w:tcPr>
          <w:p w:rsidR="00163E89" w:rsidRDefault="00163E89">
            <w:pPr>
              <w:tabs>
                <w:tab w:val="center" w:pos="4680"/>
              </w:tabs>
              <w:suppressAutoHyphens/>
              <w:jc w:val="center"/>
              <w:rPr>
                <w:sz w:val="36"/>
              </w:rPr>
            </w:pPr>
          </w:p>
        </w:tc>
        <w:tc>
          <w:tcPr>
            <w:tcW w:w="7452" w:type="dxa"/>
            <w:shd w:val="pct25" w:color="auto" w:fill="FFFFFF"/>
            <w:vAlign w:val="center"/>
          </w:tcPr>
          <w:p w:rsidR="00163E89" w:rsidRDefault="00163E89">
            <w:pPr>
              <w:tabs>
                <w:tab w:val="center" w:pos="4680"/>
              </w:tabs>
              <w:suppressAutoHyphens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28"/>
              </w:rPr>
              <w:t>New York Region</w:t>
            </w:r>
          </w:p>
        </w:tc>
      </w:tr>
    </w:tbl>
    <w:p w:rsidR="00163E89" w:rsidRDefault="00005B9E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103505</wp:posOffset>
                </wp:positionV>
                <wp:extent cx="5943600" cy="18415"/>
                <wp:effectExtent l="0" t="635" r="0" b="0"/>
                <wp:wrapNone/>
                <wp:docPr id="3" name="Rectangle 2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alt="&quot;&quot;" style="position:absolute;margin-left:0;margin-top:8.15pt;width:468pt;height:1.4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LGfhAIAAA4FAAAOAAAAZHJzL2Uyb0RvYy54bWysVE1z0zAQvTPDf9DowC21nTppbOp0+kGY&#10;zhToUPgBiiTHGmStKylxCsN/ZyUnIYVLhyEHRevVrt6+favzi22ryUZap8BUNDtJKZGGg1BmVdGv&#10;XxajGSXOMyOYBiMr+iQdvZi/fnXed6UcQwNaSEswiXFl31W08b4rk8TxRrbMnUAnDTprsC3zaNpV&#10;IizrMXurk3GaTpMerOgscOkcfr0ZnHQe89e15P5TXTvpia4oYvNxtXFdhjWZn7NyZVnXKL6Dwf4B&#10;RcuUwUsPqW6YZ2Rt1V+pWsUtOKj9CYc2gbpWXMYasJos/aOah4Z1MtaC5LjuQJP7f2n5x829JUpU&#10;9JQSw1ps0WckjZmVlmRMiZCOI11vHtfg3w5r4KzvXImhD929DVW77g74N0cMXDcYKi+thb6RTCDS&#10;LJxPngUEw2EoWfYfQOCVbO0h0retbRsSIjFkG7v0dOiS3HrC8eOkyE+nKTaToy+b5dkk3sDKfXBn&#10;nX8voSVhU1GL9cTkbHPnfADDyv2RCB60EguldTTsanmtLdmwIJj422V3x8e0CYcNhLAh4/AFMeId&#10;wRfQRgH8KLJxnl6Ni9FiOjsb5Yt8MirO0tkozYqrYprmRX6z+BkAZnnZKCGkuVNG7sWY5S9r9m4s&#10;BhlFOZK+otPTSSz9GXj3shpb5XE0tWorOjsQwcrQ1ndGYNWs9EzpYZ88Rx9JRgr2/5GUKILQ90E/&#10;SxBPqAEL2CPsJj4iuGnAfqekx4GsqHtcMysp0bcGdVRkeR4mOBr55GyMhj32LI89zHBMVVFPybC9&#10;9sPUrzurVg3elEViDFyi9moVdRF0OaDaKRaHLlaweyDCVB/b8dTvZ2z+CwAA//8DAFBLAwQUAAYA&#10;CAAAACEA/7BkjdkAAAAGAQAADwAAAGRycy9kb3ducmV2LnhtbEyPwU7DMAyG70i8Q2QkLmhLt0kt&#10;7ZpOCAGCI4MHSBOvLTROlWRbeXvMiR39/dbvz/VudqM4YYiDJwWrZQYCyXg7UKfg8+N5cQ8iJk1W&#10;j55QwQ9G2DXXV7WurD/TO572qRNcQrHSCvqUpkrKaHp0Oi79hMTZwQenE4+hkzboM5e7Ua6zLJdO&#10;D8QXej3hY4/me390CmQZTfHy9HW3Sr59NW9F0O2hUOr2Zn7Ygkg4p/9l+NNndWjYqfVHslGMCviR&#10;xDTfgOC03OQMWgblGmRTy0v95hcAAP//AwBQSwECLQAUAAYACAAAACEAtoM4kv4AAADhAQAAEwAA&#10;AAAAAAAAAAAAAAAAAAAAW0NvbnRlbnRfVHlwZXNdLnhtbFBLAQItABQABgAIAAAAIQA4/SH/1gAA&#10;AJQBAAALAAAAAAAAAAAAAAAAAC8BAABfcmVscy8ucmVsc1BLAQItABQABgAIAAAAIQA1GLGfhAIA&#10;AA4FAAAOAAAAAAAAAAAAAAAAAC4CAABkcnMvZTJvRG9jLnhtbFBLAQItABQABgAIAAAAIQD/sGSN&#10;2QAAAAYBAAAPAAAAAAAAAAAAAAAAAN4EAABkcnMvZG93bnJldi54bWxQSwUGAAAAAAQABADzAAAA&#10;5AUAAAAA&#10;" o:allowincell="f" fillcolor="black" stroked="f" strokeweight=".05pt">
                <w10:wrap anchorx="margin"/>
              </v:rect>
            </w:pict>
          </mc:Fallback>
        </mc:AlternateContent>
      </w:r>
    </w:p>
    <w:p w:rsidR="00163E89" w:rsidRDefault="00163E89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AUDIENCE: FO, D</w:t>
      </w:r>
      <w:r w:rsidR="00E837DB">
        <w:rPr>
          <w:rFonts w:ascii="Times New Roman" w:hAnsi="Times New Roman"/>
        </w:rPr>
        <w:t>PB</w:t>
      </w:r>
      <w:r>
        <w:rPr>
          <w:rFonts w:ascii="Times New Roman" w:hAnsi="Times New Roman"/>
        </w:rPr>
        <w:t xml:space="preserve">, </w:t>
      </w:r>
      <w:r w:rsidR="00E60D0D">
        <w:rPr>
          <w:rFonts w:ascii="Times New Roman" w:hAnsi="Times New Roman"/>
        </w:rPr>
        <w:t xml:space="preserve">DPU, </w:t>
      </w:r>
      <w:r>
        <w:rPr>
          <w:rFonts w:ascii="Times New Roman" w:hAnsi="Times New Roman"/>
        </w:rPr>
        <w:t>DQB, VI and DDS</w:t>
      </w:r>
    </w:p>
    <w:p w:rsidR="00163E89" w:rsidRDefault="00163E89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163E89" w:rsidRDefault="00163E89" w:rsidP="003F3ACA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DPN No.</w:t>
      </w:r>
      <w:r w:rsidR="007D1A0A">
        <w:rPr>
          <w:rFonts w:ascii="Times New Roman" w:hAnsi="Times New Roman"/>
        </w:rPr>
        <w:t xml:space="preserve"> </w:t>
      </w:r>
      <w:r w:rsidR="00786B3F">
        <w:rPr>
          <w:rFonts w:ascii="Times New Roman" w:hAnsi="Times New Roman"/>
        </w:rPr>
        <w:t>1</w:t>
      </w:r>
      <w:r w:rsidR="00E11BA8">
        <w:rPr>
          <w:rFonts w:ascii="Times New Roman" w:hAnsi="Times New Roman"/>
        </w:rPr>
        <w:t>2</w:t>
      </w:r>
      <w:r w:rsidR="00D03A59">
        <w:rPr>
          <w:rFonts w:ascii="Times New Roman" w:hAnsi="Times New Roman"/>
        </w:rPr>
        <w:t>-00</w:t>
      </w:r>
      <w:r w:rsidR="00061EDF"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D2C54">
        <w:rPr>
          <w:rFonts w:ascii="Times New Roman" w:hAnsi="Times New Roman"/>
        </w:rPr>
        <w:tab/>
      </w:r>
      <w:r>
        <w:rPr>
          <w:rFonts w:ascii="Times New Roman" w:hAnsi="Times New Roman"/>
        </w:rPr>
        <w:t>Date:</w:t>
      </w:r>
      <w:r w:rsidR="00E837DB">
        <w:rPr>
          <w:rFonts w:ascii="Times New Roman" w:hAnsi="Times New Roman"/>
        </w:rPr>
        <w:t xml:space="preserve"> </w:t>
      </w:r>
      <w:r w:rsidR="007D1A0A">
        <w:rPr>
          <w:rFonts w:ascii="Times New Roman" w:hAnsi="Times New Roman"/>
        </w:rPr>
        <w:t xml:space="preserve"> </w:t>
      </w:r>
      <w:r w:rsidR="00061EDF">
        <w:rPr>
          <w:rFonts w:ascii="Times New Roman" w:hAnsi="Times New Roman"/>
        </w:rPr>
        <w:t xml:space="preserve">December </w:t>
      </w:r>
      <w:r w:rsidR="004A387D">
        <w:rPr>
          <w:rFonts w:ascii="Times New Roman" w:hAnsi="Times New Roman"/>
        </w:rPr>
        <w:t>11</w:t>
      </w:r>
      <w:r w:rsidR="00061EDF">
        <w:rPr>
          <w:rFonts w:ascii="Times New Roman" w:hAnsi="Times New Roman"/>
        </w:rPr>
        <w:t xml:space="preserve">, 2012 </w:t>
      </w:r>
    </w:p>
    <w:p w:rsidR="00163E89" w:rsidRDefault="00005B9E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97790</wp:posOffset>
                </wp:positionV>
                <wp:extent cx="5943600" cy="18415"/>
                <wp:effectExtent l="0" t="2540" r="0" b="0"/>
                <wp:wrapNone/>
                <wp:docPr id="2" name="Rectangle 3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alt="&quot;&quot;" style="position:absolute;margin-left:0;margin-top:7.7pt;width:468pt;height:1.4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mMhAIAAA4FAAAOAAAAZHJzL2Uyb0RvYy54bWysVE1z0zAQvTPDf9DowC21nTppbOp0+kGY&#10;zhToUPgBiiTHGmStKylxCsN/ZyUnIYVLhyEHRevVrt6+favzi22ryUZap8BUNDtJKZGGg1BmVdGv&#10;XxajGSXOMyOYBiMr+iQdvZi/fnXed6UcQwNaSEswiXFl31W08b4rk8TxRrbMnUAnDTprsC3zaNpV&#10;IizrMXurk3GaTpMerOgscOkcfr0ZnHQe89e15P5TXTvpia4oYvNxtXFdhjWZn7NyZVnXKL6Dwf4B&#10;RcuUwUsPqW6YZ2Rt1V+pWsUtOKj9CYc2gbpWXMYasJos/aOah4Z1MtaC5LjuQJP7f2n5x829JUpU&#10;dEyJYS226DOSxsxKS3JKiZCOI11vHtfg3w5r4KzvXImhD929DVW77g74N0cMXDcYKi+thb6RTCDS&#10;LJxPngUEw2EoWfYfQOCVbO0h0retbRsSIjFkG7v0dOiS3HrC8eOkyE+nKTaToy+b5dkk3sDKfXBn&#10;nX8voSVhU1GL9cTkbHPnfADDyv2RCB60EguldTTsanmtLdmwIJj422V3x8e0CYcNhLAh4/AFMeId&#10;wRfQRgH8KLJxnl6Ni9FiOjsb5Yt8MirO0tkozYqrYprmRX6z+BkAZnnZKCGkuVNG7sWY5S9r9m4s&#10;BhlFOZK+otPTSSz9GXj3shpb5XE0tWorOjsQwcrQ1ndGYNWs9EzpYZ88Rx9JRgr2/5GUKILQ90E/&#10;SxBPqAEL2CPsJj4iuGnAfqekx4GsqHtcMysp0bcGdVRkeR4mOBr55GyMhj32LI89zHBMVVFPybC9&#10;9sPUrzurVg3elEViDFyi9moVdRF0OaDaKRaHLlaweyDCVB/b8dTvZ2z+CwAA//8DAFBLAwQUAAYA&#10;CAAAACEA6BcwOdoAAAAGAQAADwAAAGRycy9kb3ducmV2LnhtbEyPwU7DMAyG70i8Q2QkLoilY7Bu&#10;pemEEKBxZPAAbuO1hcapkmwrb485wdHfb/3+XG4mN6gjhdh7NjCfZaCIG297bg18vD9fr0DFhGxx&#10;8EwGvinCpjo/K7Gw/sRvdNylVkkJxwINdCmNhdax6chhnPmRWLK9Dw6TjKHVNuBJyt2gb7JsqR32&#10;LBc6HOmxo+Zrd3AG9Do2+cvT59U8+XrbvOYB631uzOXF9HAPKtGU/pbhV1/UoRKn2h/YRjUYkEeS&#10;0LtbUJKuF0sBtYDVAnRV6v/61Q8AAAD//wMAUEsBAi0AFAAGAAgAAAAhALaDOJL+AAAA4QEAABMA&#10;AAAAAAAAAAAAAAAAAAAAAFtDb250ZW50X1R5cGVzXS54bWxQSwECLQAUAAYACAAAACEAOP0h/9YA&#10;AACUAQAACwAAAAAAAAAAAAAAAAAvAQAAX3JlbHMvLnJlbHNQSwECLQAUAAYACAAAACEAFBLJjIQC&#10;AAAOBQAADgAAAAAAAAAAAAAAAAAuAgAAZHJzL2Uyb0RvYy54bWxQSwECLQAUAAYACAAAACEA6Bcw&#10;OdoAAAAGAQAADwAAAAAAAAAAAAAAAADeBAAAZHJzL2Rvd25yZXYueG1sUEsFBgAAAAAEAAQA8wAA&#10;AOUFAAAAAA==&#10;" o:allowincell="f" fillcolor="black" stroked="f" strokeweight=".05pt">
                <w10:wrap anchorx="margin"/>
              </v:rect>
            </w:pict>
          </mc:Fallback>
        </mc:AlternateContent>
      </w:r>
    </w:p>
    <w:p w:rsidR="00163E89" w:rsidRDefault="00163E89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163E89" w:rsidRDefault="00163E89">
      <w:pPr>
        <w:tabs>
          <w:tab w:val="left" w:pos="-720"/>
        </w:tabs>
        <w:suppressAutoHyphens/>
        <w:rPr>
          <w:rFonts w:ascii="Times New Roman" w:hAnsi="Times New Roman"/>
        </w:rPr>
        <w:sectPr w:rsidR="00163E89">
          <w:footerReference w:type="default" r:id="rId10"/>
          <w:footerReference w:type="first" r:id="rId11"/>
          <w:endnotePr>
            <w:numFmt w:val="decimal"/>
          </w:endnotePr>
          <w:type w:val="continuous"/>
          <w:pgSz w:w="12240" w:h="15840"/>
          <w:pgMar w:top="360" w:right="1440" w:bottom="331" w:left="1440" w:header="360" w:footer="331" w:gutter="0"/>
          <w:pgNumType w:start="1"/>
          <w:cols w:space="720"/>
          <w:noEndnote/>
          <w:titlePg/>
        </w:sectPr>
      </w:pPr>
    </w:p>
    <w:p w:rsidR="00786B3F" w:rsidRDefault="00005B9E" w:rsidP="00005B9E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zCs w:val="24"/>
        </w:rPr>
      </w:pPr>
      <w:r w:rsidRPr="00786B3F">
        <w:rPr>
          <w:rFonts w:ascii="Times New Roman" w:hAnsi="Times New Roman"/>
          <w:b/>
          <w:szCs w:val="24"/>
        </w:rPr>
        <w:lastRenderedPageBreak/>
        <w:t xml:space="preserve">Announcement of New Puerto Rico CDI </w:t>
      </w:r>
      <w:r w:rsidR="00516A6D">
        <w:rPr>
          <w:rFonts w:ascii="Times New Roman" w:hAnsi="Times New Roman"/>
          <w:b/>
          <w:szCs w:val="24"/>
        </w:rPr>
        <w:t>U</w:t>
      </w:r>
      <w:r w:rsidRPr="00786B3F">
        <w:rPr>
          <w:rFonts w:ascii="Times New Roman" w:hAnsi="Times New Roman"/>
          <w:b/>
          <w:szCs w:val="24"/>
        </w:rPr>
        <w:t>nit (U1Z)</w:t>
      </w:r>
      <w:r w:rsidR="00786B3F">
        <w:rPr>
          <w:rFonts w:ascii="Times New Roman" w:hAnsi="Times New Roman"/>
          <w:b/>
          <w:szCs w:val="24"/>
        </w:rPr>
        <w:t xml:space="preserve"> </w:t>
      </w:r>
      <w:r w:rsidRPr="00786B3F">
        <w:rPr>
          <w:rFonts w:ascii="Times New Roman" w:hAnsi="Times New Roman"/>
          <w:b/>
          <w:szCs w:val="24"/>
        </w:rPr>
        <w:t>and</w:t>
      </w:r>
    </w:p>
    <w:p w:rsidR="00AD72C8" w:rsidRPr="00786B3F" w:rsidRDefault="00005B9E" w:rsidP="00005B9E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color w:val="000000"/>
          <w:szCs w:val="24"/>
        </w:rPr>
      </w:pPr>
      <w:r w:rsidRPr="00786B3F">
        <w:rPr>
          <w:rFonts w:ascii="Times New Roman" w:hAnsi="Times New Roman"/>
          <w:b/>
          <w:szCs w:val="24"/>
        </w:rPr>
        <w:t xml:space="preserve"> e8551 Fraud Referral Process</w:t>
      </w:r>
      <w:r w:rsidR="00786B3F">
        <w:rPr>
          <w:rFonts w:ascii="Times New Roman" w:hAnsi="Times New Roman"/>
          <w:b/>
          <w:szCs w:val="24"/>
        </w:rPr>
        <w:t xml:space="preserve"> </w:t>
      </w:r>
      <w:r w:rsidRPr="00786B3F">
        <w:rPr>
          <w:rFonts w:ascii="Times New Roman" w:hAnsi="Times New Roman"/>
          <w:b/>
          <w:szCs w:val="24"/>
        </w:rPr>
        <w:t>Reminders</w:t>
      </w:r>
    </w:p>
    <w:p w:rsidR="00005B9E" w:rsidRDefault="00005B9E" w:rsidP="00005B9E">
      <w:pPr>
        <w:rPr>
          <w:rFonts w:ascii="Times New Roman" w:hAnsi="Times New Roman"/>
          <w:szCs w:val="24"/>
        </w:rPr>
      </w:pPr>
    </w:p>
    <w:p w:rsidR="00005B9E" w:rsidRDefault="00005B9E" w:rsidP="00005B9E">
      <w:pPr>
        <w:rPr>
          <w:rFonts w:ascii="Times New Roman" w:hAnsi="Times New Roman"/>
          <w:szCs w:val="24"/>
        </w:rPr>
      </w:pPr>
      <w:r w:rsidRPr="00786B3F">
        <w:rPr>
          <w:rFonts w:ascii="Times New Roman" w:hAnsi="Times New Roman"/>
          <w:szCs w:val="24"/>
        </w:rPr>
        <w:t>The purpose of this</w:t>
      </w:r>
      <w:r w:rsidR="001A2BA0">
        <w:rPr>
          <w:rFonts w:ascii="Times New Roman" w:hAnsi="Times New Roman"/>
          <w:szCs w:val="24"/>
        </w:rPr>
        <w:t xml:space="preserve"> Disability Program Note is to</w:t>
      </w:r>
      <w:r w:rsidRPr="00786B3F">
        <w:rPr>
          <w:rFonts w:ascii="Times New Roman" w:hAnsi="Times New Roman"/>
          <w:szCs w:val="24"/>
        </w:rPr>
        <w:t xml:space="preserve"> announce the </w:t>
      </w:r>
      <w:r w:rsidR="00817CCC">
        <w:rPr>
          <w:rFonts w:ascii="Times New Roman" w:hAnsi="Times New Roman"/>
          <w:szCs w:val="24"/>
        </w:rPr>
        <w:t>creation</w:t>
      </w:r>
      <w:r w:rsidRPr="00786B3F">
        <w:rPr>
          <w:rFonts w:ascii="Times New Roman" w:hAnsi="Times New Roman"/>
          <w:szCs w:val="24"/>
        </w:rPr>
        <w:t xml:space="preserve"> of a new Cooperative Disability Investigation (CDI) </w:t>
      </w:r>
      <w:r w:rsidR="006D64C9">
        <w:rPr>
          <w:rFonts w:ascii="Times New Roman" w:hAnsi="Times New Roman"/>
          <w:szCs w:val="24"/>
        </w:rPr>
        <w:t>U</w:t>
      </w:r>
      <w:r w:rsidRPr="00786B3F">
        <w:rPr>
          <w:rFonts w:ascii="Times New Roman" w:hAnsi="Times New Roman"/>
          <w:szCs w:val="24"/>
        </w:rPr>
        <w:t xml:space="preserve">nit in </w:t>
      </w:r>
      <w:r w:rsidR="00E838C9">
        <w:rPr>
          <w:rFonts w:ascii="Times New Roman" w:hAnsi="Times New Roman"/>
          <w:szCs w:val="24"/>
        </w:rPr>
        <w:t xml:space="preserve">the Commonwealth of </w:t>
      </w:r>
      <w:r w:rsidRPr="00786B3F">
        <w:rPr>
          <w:rFonts w:ascii="Times New Roman" w:hAnsi="Times New Roman"/>
          <w:szCs w:val="24"/>
        </w:rPr>
        <w:t xml:space="preserve">Puerto Rico and to provide </w:t>
      </w:r>
      <w:r w:rsidR="001972E3">
        <w:rPr>
          <w:rFonts w:ascii="Times New Roman" w:hAnsi="Times New Roman"/>
          <w:szCs w:val="24"/>
        </w:rPr>
        <w:t xml:space="preserve">tips and </w:t>
      </w:r>
      <w:r w:rsidRPr="00786B3F">
        <w:rPr>
          <w:rFonts w:ascii="Times New Roman" w:hAnsi="Times New Roman"/>
          <w:szCs w:val="24"/>
        </w:rPr>
        <w:t xml:space="preserve">reminders about the </w:t>
      </w:r>
      <w:r w:rsidR="009D2957">
        <w:rPr>
          <w:rFonts w:ascii="Times New Roman" w:hAnsi="Times New Roman"/>
          <w:szCs w:val="24"/>
        </w:rPr>
        <w:t>fraud (</w:t>
      </w:r>
      <w:r w:rsidRPr="00786B3F">
        <w:rPr>
          <w:rFonts w:ascii="Times New Roman" w:hAnsi="Times New Roman"/>
          <w:szCs w:val="24"/>
        </w:rPr>
        <w:t>e8551</w:t>
      </w:r>
      <w:r w:rsidR="009D2957">
        <w:rPr>
          <w:rFonts w:ascii="Times New Roman" w:hAnsi="Times New Roman"/>
          <w:szCs w:val="24"/>
        </w:rPr>
        <w:t>)</w:t>
      </w:r>
      <w:r w:rsidR="00952801">
        <w:rPr>
          <w:rFonts w:ascii="Times New Roman" w:hAnsi="Times New Roman"/>
          <w:szCs w:val="24"/>
        </w:rPr>
        <w:t xml:space="preserve"> referral process.</w:t>
      </w:r>
    </w:p>
    <w:p w:rsidR="00786B3F" w:rsidRDefault="00786B3F" w:rsidP="00005B9E">
      <w:pPr>
        <w:rPr>
          <w:rFonts w:ascii="Times New Roman" w:hAnsi="Times New Roman"/>
          <w:szCs w:val="24"/>
        </w:rPr>
      </w:pPr>
    </w:p>
    <w:p w:rsidR="008E3065" w:rsidRPr="0077613F" w:rsidRDefault="00B3013C" w:rsidP="00005B9E">
      <w:pPr>
        <w:rPr>
          <w:rFonts w:ascii="Times New Roman" w:hAnsi="Times New Roman"/>
          <w:b/>
          <w:szCs w:val="24"/>
        </w:rPr>
      </w:pPr>
      <w:r w:rsidRPr="0077613F">
        <w:rPr>
          <w:rFonts w:ascii="Times New Roman" w:hAnsi="Times New Roman"/>
          <w:b/>
          <w:szCs w:val="24"/>
        </w:rPr>
        <w:t xml:space="preserve">CDI </w:t>
      </w:r>
      <w:r w:rsidR="008E3065" w:rsidRPr="0077613F">
        <w:rPr>
          <w:rFonts w:ascii="Times New Roman" w:hAnsi="Times New Roman"/>
          <w:b/>
          <w:szCs w:val="24"/>
        </w:rPr>
        <w:t>Background</w:t>
      </w:r>
      <w:r w:rsidRPr="0077613F">
        <w:rPr>
          <w:rFonts w:ascii="Times New Roman" w:hAnsi="Times New Roman"/>
          <w:b/>
          <w:szCs w:val="24"/>
        </w:rPr>
        <w:t xml:space="preserve"> </w:t>
      </w:r>
    </w:p>
    <w:p w:rsidR="00B3013C" w:rsidRPr="008E3065" w:rsidRDefault="00B3013C" w:rsidP="00005B9E">
      <w:pPr>
        <w:rPr>
          <w:rFonts w:ascii="Times New Roman" w:hAnsi="Times New Roman"/>
          <w:b/>
          <w:szCs w:val="24"/>
          <w:u w:val="single"/>
        </w:rPr>
      </w:pPr>
    </w:p>
    <w:p w:rsidR="00A00602" w:rsidRDefault="00A00602" w:rsidP="00B24CF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CDI program</w:t>
      </w:r>
      <w:r w:rsidR="00331378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established in fiscal year 1998</w:t>
      </w:r>
      <w:r w:rsidR="00817CCC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is a joint effort among Federal and State agencies to combine resources </w:t>
      </w:r>
      <w:r w:rsidR="004A387D">
        <w:rPr>
          <w:rFonts w:ascii="Times New Roman" w:hAnsi="Times New Roman"/>
          <w:szCs w:val="24"/>
        </w:rPr>
        <w:t xml:space="preserve">to protect the integrity of the Social Security program by </w:t>
      </w:r>
      <w:r>
        <w:rPr>
          <w:rFonts w:ascii="Times New Roman" w:hAnsi="Times New Roman"/>
          <w:szCs w:val="24"/>
        </w:rPr>
        <w:t xml:space="preserve">preventing </w:t>
      </w:r>
      <w:r w:rsidR="004A387D">
        <w:rPr>
          <w:rFonts w:ascii="Times New Roman" w:hAnsi="Times New Roman"/>
          <w:szCs w:val="24"/>
        </w:rPr>
        <w:t xml:space="preserve">improper payments and </w:t>
      </w:r>
      <w:r>
        <w:rPr>
          <w:rFonts w:ascii="Times New Roman" w:hAnsi="Times New Roman"/>
          <w:szCs w:val="24"/>
        </w:rPr>
        <w:t xml:space="preserve">fraud in SSA’s Title II and Title XVI disability programs and related Federal and State Programs.  </w:t>
      </w:r>
      <w:r w:rsidR="00365A02">
        <w:rPr>
          <w:rFonts w:ascii="Times New Roman" w:hAnsi="Times New Roman"/>
          <w:szCs w:val="24"/>
        </w:rPr>
        <w:t>The program currently consists of 25 Units covering 21 states and the Commonwealth of Puerto Rico.</w:t>
      </w:r>
      <w:r>
        <w:rPr>
          <w:rFonts w:ascii="Times New Roman" w:hAnsi="Times New Roman"/>
          <w:szCs w:val="24"/>
        </w:rPr>
        <w:t xml:space="preserve">  The CDI </w:t>
      </w:r>
      <w:r w:rsidR="00CC64DC"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</w:rPr>
        <w:t>nits are typically comprised of one OIG Special Agent (Team Leader), two investigators from a State or local law enforcement agency, one Disability Examiner/Adjudicator, and one SSA Management Support Specialist or equivalent position.</w:t>
      </w:r>
      <w:r w:rsidR="00365A02">
        <w:rPr>
          <w:rFonts w:ascii="Times New Roman" w:hAnsi="Times New Roman"/>
          <w:szCs w:val="24"/>
        </w:rPr>
        <w:t xml:space="preserve"> </w:t>
      </w:r>
    </w:p>
    <w:p w:rsidR="008E3065" w:rsidRDefault="008E3065" w:rsidP="00B24CF4">
      <w:pPr>
        <w:rPr>
          <w:rFonts w:ascii="Times New Roman" w:hAnsi="Times New Roman"/>
          <w:szCs w:val="24"/>
        </w:rPr>
      </w:pPr>
    </w:p>
    <w:p w:rsidR="00B3013C" w:rsidRPr="0077613F" w:rsidRDefault="00B3013C" w:rsidP="00B3013C">
      <w:pPr>
        <w:tabs>
          <w:tab w:val="left" w:pos="1200"/>
        </w:tabs>
        <w:rPr>
          <w:rFonts w:ascii="Times New Roman" w:hAnsi="Times New Roman"/>
          <w:b/>
          <w:szCs w:val="24"/>
        </w:rPr>
      </w:pPr>
      <w:r w:rsidRPr="0077613F">
        <w:rPr>
          <w:rFonts w:ascii="Times New Roman" w:hAnsi="Times New Roman"/>
          <w:b/>
          <w:szCs w:val="24"/>
        </w:rPr>
        <w:t>Mission</w:t>
      </w:r>
    </w:p>
    <w:p w:rsidR="00B3013C" w:rsidRPr="00B3013C" w:rsidRDefault="00B3013C" w:rsidP="00B3013C">
      <w:pPr>
        <w:tabs>
          <w:tab w:val="left" w:pos="1200"/>
        </w:tabs>
        <w:rPr>
          <w:rFonts w:ascii="Times New Roman" w:hAnsi="Times New Roman"/>
          <w:b/>
          <w:szCs w:val="24"/>
          <w:u w:val="single"/>
        </w:rPr>
      </w:pPr>
    </w:p>
    <w:p w:rsidR="008E3065" w:rsidRDefault="008E3065" w:rsidP="008E3065">
      <w:pPr>
        <w:rPr>
          <w:rFonts w:ascii="Times New Roman" w:hAnsi="Times New Roman"/>
          <w:szCs w:val="24"/>
        </w:rPr>
      </w:pPr>
      <w:r w:rsidRPr="00786B3F">
        <w:rPr>
          <w:rFonts w:ascii="Times New Roman" w:hAnsi="Times New Roman"/>
          <w:szCs w:val="24"/>
        </w:rPr>
        <w:t xml:space="preserve">The mission of the CDI </w:t>
      </w:r>
      <w:r w:rsidR="006D64C9">
        <w:rPr>
          <w:rFonts w:ascii="Times New Roman" w:hAnsi="Times New Roman"/>
          <w:szCs w:val="24"/>
        </w:rPr>
        <w:t>U</w:t>
      </w:r>
      <w:r w:rsidRPr="00786B3F">
        <w:rPr>
          <w:rFonts w:ascii="Times New Roman" w:hAnsi="Times New Roman"/>
          <w:szCs w:val="24"/>
        </w:rPr>
        <w:t xml:space="preserve">nit is to </w:t>
      </w:r>
      <w:r>
        <w:rPr>
          <w:rFonts w:ascii="Times New Roman" w:hAnsi="Times New Roman"/>
          <w:szCs w:val="24"/>
        </w:rPr>
        <w:t>obtain evidence of material fact sufficient to</w:t>
      </w:r>
      <w:r w:rsidR="009C0BEF">
        <w:rPr>
          <w:rFonts w:ascii="Times New Roman" w:hAnsi="Times New Roman"/>
          <w:szCs w:val="24"/>
        </w:rPr>
        <w:t xml:space="preserve"> allow the DDS to make timely and accurate disability determinations and to </w:t>
      </w:r>
      <w:r>
        <w:rPr>
          <w:rFonts w:ascii="Times New Roman" w:hAnsi="Times New Roman"/>
          <w:szCs w:val="24"/>
        </w:rPr>
        <w:t xml:space="preserve">resolve questions of fraud in Social Security Disability programs.  The investigations may relate to </w:t>
      </w:r>
      <w:r w:rsidRPr="00786B3F">
        <w:rPr>
          <w:rFonts w:ascii="Times New Roman" w:hAnsi="Times New Roman"/>
          <w:szCs w:val="24"/>
        </w:rPr>
        <w:t>questionable</w:t>
      </w:r>
      <w:r>
        <w:rPr>
          <w:rFonts w:ascii="Times New Roman" w:hAnsi="Times New Roman"/>
          <w:szCs w:val="24"/>
        </w:rPr>
        <w:t xml:space="preserve"> </w:t>
      </w:r>
      <w:r w:rsidRPr="00786B3F">
        <w:rPr>
          <w:rFonts w:ascii="Times New Roman" w:hAnsi="Times New Roman"/>
          <w:szCs w:val="24"/>
        </w:rPr>
        <w:t>statements and activities of claimants, medical providers, representatives, interpreters, or other service providers who facilitate or promote disability fraud</w:t>
      </w:r>
      <w:r>
        <w:rPr>
          <w:rFonts w:ascii="Times New Roman" w:hAnsi="Times New Roman"/>
          <w:szCs w:val="24"/>
        </w:rPr>
        <w:t>.  This program supports the Agency’s strategic goal of ensuring the integrity of Social Security programs, with zero tolerance for fraud.</w:t>
      </w:r>
      <w:r w:rsidRPr="00786B3F">
        <w:rPr>
          <w:rFonts w:ascii="Times New Roman" w:hAnsi="Times New Roman"/>
          <w:szCs w:val="24"/>
        </w:rPr>
        <w:t xml:space="preserve"> </w:t>
      </w:r>
    </w:p>
    <w:p w:rsidR="008E3065" w:rsidRDefault="008E3065" w:rsidP="008E3065">
      <w:pPr>
        <w:rPr>
          <w:rFonts w:ascii="Times New Roman" w:hAnsi="Times New Roman"/>
          <w:szCs w:val="24"/>
        </w:rPr>
      </w:pPr>
    </w:p>
    <w:p w:rsidR="008E3065" w:rsidRDefault="008E3065" w:rsidP="008E3065">
      <w:pPr>
        <w:rPr>
          <w:rFonts w:ascii="Times New Roman" w:hAnsi="Times New Roman"/>
          <w:szCs w:val="24"/>
        </w:rPr>
      </w:pPr>
      <w:r w:rsidRPr="00365A02">
        <w:rPr>
          <w:rFonts w:ascii="Times New Roman" w:hAnsi="Times New Roman"/>
          <w:szCs w:val="24"/>
        </w:rPr>
        <w:t xml:space="preserve">In FY 2012, the CDI program reported $339.6 million in projected savings to SSA’s disability programs—the program’s greatest single-year savings total—for a return on investment of $17 to $1. </w:t>
      </w:r>
    </w:p>
    <w:p w:rsidR="008E3065" w:rsidRDefault="008E3065" w:rsidP="00B24CF4">
      <w:pPr>
        <w:rPr>
          <w:rFonts w:ascii="Times New Roman" w:hAnsi="Times New Roman"/>
          <w:szCs w:val="24"/>
        </w:rPr>
      </w:pPr>
    </w:p>
    <w:p w:rsidR="008E3065" w:rsidRPr="0077613F" w:rsidRDefault="008E3065" w:rsidP="00B24CF4">
      <w:pPr>
        <w:rPr>
          <w:rFonts w:ascii="Times New Roman" w:hAnsi="Times New Roman"/>
          <w:b/>
          <w:szCs w:val="24"/>
        </w:rPr>
      </w:pPr>
      <w:r w:rsidRPr="0077613F">
        <w:rPr>
          <w:rFonts w:ascii="Times New Roman" w:hAnsi="Times New Roman"/>
          <w:b/>
          <w:szCs w:val="24"/>
        </w:rPr>
        <w:t>New York Region CDI Units</w:t>
      </w:r>
    </w:p>
    <w:p w:rsidR="00B3013C" w:rsidRPr="008E3065" w:rsidRDefault="00B3013C" w:rsidP="00B24CF4">
      <w:pPr>
        <w:rPr>
          <w:rFonts w:ascii="Times New Roman" w:hAnsi="Times New Roman"/>
          <w:b/>
          <w:szCs w:val="24"/>
          <w:u w:val="single"/>
        </w:rPr>
      </w:pPr>
    </w:p>
    <w:p w:rsidR="006D64C9" w:rsidRDefault="00787FC0" w:rsidP="00B24CF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There are two</w:t>
      </w:r>
      <w:r w:rsidR="00516A6D">
        <w:rPr>
          <w:rFonts w:ascii="Times New Roman" w:hAnsi="Times New Roman"/>
          <w:szCs w:val="24"/>
        </w:rPr>
        <w:t xml:space="preserve"> active</w:t>
      </w:r>
      <w:r>
        <w:rPr>
          <w:rFonts w:ascii="Times New Roman" w:hAnsi="Times New Roman"/>
          <w:szCs w:val="24"/>
        </w:rPr>
        <w:t xml:space="preserve"> CDI </w:t>
      </w:r>
      <w:r w:rsidR="006D64C9"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</w:rPr>
        <w:t>nits in the New York Region</w:t>
      </w:r>
      <w:r w:rsidR="001972E3">
        <w:rPr>
          <w:rFonts w:ascii="Times New Roman" w:hAnsi="Times New Roman"/>
          <w:szCs w:val="24"/>
        </w:rPr>
        <w:t>.</w:t>
      </w:r>
      <w:r w:rsidR="00A00602">
        <w:rPr>
          <w:rFonts w:ascii="Times New Roman" w:hAnsi="Times New Roman"/>
          <w:szCs w:val="24"/>
        </w:rPr>
        <w:t xml:space="preserve">  </w:t>
      </w:r>
      <w:r w:rsidR="001972E3">
        <w:rPr>
          <w:rFonts w:ascii="Times New Roman" w:hAnsi="Times New Roman"/>
          <w:szCs w:val="24"/>
        </w:rPr>
        <w:t xml:space="preserve">The New York </w:t>
      </w:r>
      <w:r w:rsidR="00185D29">
        <w:rPr>
          <w:rFonts w:ascii="Times New Roman" w:hAnsi="Times New Roman"/>
          <w:szCs w:val="24"/>
        </w:rPr>
        <w:t xml:space="preserve">CDI </w:t>
      </w:r>
      <w:r w:rsidR="001972E3">
        <w:rPr>
          <w:rFonts w:ascii="Times New Roman" w:hAnsi="Times New Roman"/>
          <w:szCs w:val="24"/>
        </w:rPr>
        <w:t>Unit (Code U75)</w:t>
      </w:r>
      <w:r w:rsidR="00185D29">
        <w:rPr>
          <w:rFonts w:ascii="Times New Roman" w:hAnsi="Times New Roman"/>
          <w:szCs w:val="24"/>
        </w:rPr>
        <w:t xml:space="preserve"> co-located with the New York City DDS (S97)</w:t>
      </w:r>
      <w:r w:rsidR="00331378">
        <w:rPr>
          <w:rFonts w:ascii="Times New Roman" w:hAnsi="Times New Roman"/>
          <w:szCs w:val="24"/>
        </w:rPr>
        <w:t>,</w:t>
      </w:r>
      <w:r w:rsidR="001972E3">
        <w:rPr>
          <w:rFonts w:ascii="Times New Roman" w:hAnsi="Times New Roman"/>
          <w:szCs w:val="24"/>
        </w:rPr>
        <w:t xml:space="preserve"> serves the five boroughs of New York City, Long Island and Westchester County.  The Puerto Rico Unit (U1Z) will</w:t>
      </w:r>
      <w:r w:rsidR="00185D29">
        <w:rPr>
          <w:rFonts w:ascii="Times New Roman" w:hAnsi="Times New Roman"/>
          <w:szCs w:val="24"/>
        </w:rPr>
        <w:t xml:space="preserve"> be co-located with the San Juan Teleservice</w:t>
      </w:r>
      <w:r w:rsidR="000E0A38">
        <w:rPr>
          <w:rFonts w:ascii="Times New Roman" w:hAnsi="Times New Roman"/>
          <w:szCs w:val="24"/>
        </w:rPr>
        <w:t xml:space="preserve"> </w:t>
      </w:r>
      <w:r w:rsidR="00185D29">
        <w:rPr>
          <w:rFonts w:ascii="Times New Roman" w:hAnsi="Times New Roman"/>
          <w:szCs w:val="24"/>
        </w:rPr>
        <w:t>Center</w:t>
      </w:r>
      <w:r w:rsidR="000E0A38">
        <w:rPr>
          <w:rFonts w:ascii="Times New Roman" w:hAnsi="Times New Roman"/>
          <w:szCs w:val="24"/>
        </w:rPr>
        <w:t xml:space="preserve"> (E04)</w:t>
      </w:r>
      <w:r w:rsidR="00185D29">
        <w:rPr>
          <w:rFonts w:ascii="Times New Roman" w:hAnsi="Times New Roman"/>
          <w:szCs w:val="24"/>
        </w:rPr>
        <w:t xml:space="preserve"> and the Disability Processing </w:t>
      </w:r>
      <w:r w:rsidR="000E0A38">
        <w:rPr>
          <w:rFonts w:ascii="Times New Roman" w:hAnsi="Times New Roman"/>
          <w:szCs w:val="24"/>
        </w:rPr>
        <w:t>Unit (S2T),</w:t>
      </w:r>
      <w:r w:rsidR="001972E3">
        <w:rPr>
          <w:rFonts w:ascii="Times New Roman" w:hAnsi="Times New Roman"/>
          <w:szCs w:val="24"/>
        </w:rPr>
        <w:t xml:space="preserve"> </w:t>
      </w:r>
      <w:r w:rsidR="000E0A38">
        <w:rPr>
          <w:rFonts w:ascii="Times New Roman" w:hAnsi="Times New Roman"/>
          <w:szCs w:val="24"/>
        </w:rPr>
        <w:t xml:space="preserve">and will </w:t>
      </w:r>
      <w:r w:rsidR="001972E3">
        <w:rPr>
          <w:rFonts w:ascii="Times New Roman" w:hAnsi="Times New Roman"/>
          <w:szCs w:val="24"/>
        </w:rPr>
        <w:t xml:space="preserve">cover the Commonwealth of Puerto Rico and the Virgin Islands.   </w:t>
      </w:r>
      <w:r w:rsidR="003F5C27">
        <w:rPr>
          <w:rFonts w:ascii="Times New Roman" w:hAnsi="Times New Roman"/>
          <w:szCs w:val="24"/>
        </w:rPr>
        <w:t xml:space="preserve">Activities of the </w:t>
      </w:r>
      <w:r w:rsidR="005C2958">
        <w:rPr>
          <w:rFonts w:ascii="Times New Roman" w:hAnsi="Times New Roman"/>
          <w:szCs w:val="24"/>
        </w:rPr>
        <w:t xml:space="preserve">New Jersey CDI </w:t>
      </w:r>
      <w:r>
        <w:rPr>
          <w:rFonts w:ascii="Times New Roman" w:hAnsi="Times New Roman"/>
          <w:szCs w:val="24"/>
        </w:rPr>
        <w:t>Unit (Code UF2</w:t>
      </w:r>
      <w:r w:rsidR="00EB3049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ha</w:t>
      </w:r>
      <w:r w:rsidR="00814CA0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 been </w:t>
      </w:r>
      <w:r w:rsidR="003F5C27">
        <w:rPr>
          <w:rFonts w:ascii="Times New Roman" w:hAnsi="Times New Roman"/>
          <w:szCs w:val="24"/>
        </w:rPr>
        <w:t>suspended</w:t>
      </w:r>
      <w:r>
        <w:rPr>
          <w:rFonts w:ascii="Times New Roman" w:hAnsi="Times New Roman"/>
          <w:szCs w:val="24"/>
        </w:rPr>
        <w:t xml:space="preserve"> </w:t>
      </w:r>
      <w:r w:rsidR="00814CA0">
        <w:rPr>
          <w:rFonts w:ascii="Times New Roman" w:hAnsi="Times New Roman"/>
          <w:szCs w:val="24"/>
        </w:rPr>
        <w:t>until further notice</w:t>
      </w:r>
      <w:r>
        <w:rPr>
          <w:rFonts w:ascii="Times New Roman" w:hAnsi="Times New Roman"/>
          <w:szCs w:val="24"/>
        </w:rPr>
        <w:t xml:space="preserve">.  </w:t>
      </w:r>
      <w:r w:rsidR="007E0A38">
        <w:rPr>
          <w:rFonts w:ascii="Times New Roman" w:hAnsi="Times New Roman"/>
          <w:szCs w:val="24"/>
        </w:rPr>
        <w:t>However, a</w:t>
      </w:r>
      <w:r w:rsidR="00E838C9">
        <w:rPr>
          <w:rFonts w:ascii="Times New Roman" w:hAnsi="Times New Roman"/>
          <w:szCs w:val="24"/>
        </w:rPr>
        <w:t xml:space="preserve">ny </w:t>
      </w:r>
      <w:r w:rsidR="005B0913">
        <w:rPr>
          <w:rFonts w:ascii="Times New Roman" w:hAnsi="Times New Roman"/>
          <w:szCs w:val="24"/>
        </w:rPr>
        <w:t xml:space="preserve">fraud </w:t>
      </w:r>
      <w:r w:rsidR="00E838C9">
        <w:rPr>
          <w:rFonts w:ascii="Times New Roman" w:hAnsi="Times New Roman"/>
          <w:szCs w:val="24"/>
        </w:rPr>
        <w:t xml:space="preserve">allegations received </w:t>
      </w:r>
      <w:r w:rsidR="00E838C9">
        <w:rPr>
          <w:rFonts w:ascii="Times New Roman" w:hAnsi="Times New Roman"/>
          <w:szCs w:val="24"/>
        </w:rPr>
        <w:lastRenderedPageBreak/>
        <w:t xml:space="preserve">from the State </w:t>
      </w:r>
      <w:r w:rsidR="007E0A38">
        <w:rPr>
          <w:rFonts w:ascii="Times New Roman" w:hAnsi="Times New Roman"/>
          <w:szCs w:val="24"/>
        </w:rPr>
        <w:t xml:space="preserve">of </w:t>
      </w:r>
      <w:r w:rsidR="00E838C9">
        <w:rPr>
          <w:rFonts w:ascii="Times New Roman" w:hAnsi="Times New Roman"/>
          <w:szCs w:val="24"/>
        </w:rPr>
        <w:t xml:space="preserve">New Jersey will </w:t>
      </w:r>
      <w:r w:rsidR="00FE11BE">
        <w:rPr>
          <w:rFonts w:ascii="Times New Roman" w:hAnsi="Times New Roman"/>
          <w:szCs w:val="24"/>
        </w:rPr>
        <w:t xml:space="preserve">continue to be assessed </w:t>
      </w:r>
      <w:r w:rsidR="00E838C9">
        <w:rPr>
          <w:rFonts w:ascii="Times New Roman" w:hAnsi="Times New Roman"/>
          <w:szCs w:val="24"/>
        </w:rPr>
        <w:t>in the same manner</w:t>
      </w:r>
      <w:r w:rsidR="00817CCC">
        <w:rPr>
          <w:rFonts w:ascii="Times New Roman" w:hAnsi="Times New Roman"/>
          <w:szCs w:val="24"/>
        </w:rPr>
        <w:t xml:space="preserve">.  </w:t>
      </w:r>
      <w:r w:rsidR="006D64C9">
        <w:rPr>
          <w:rFonts w:ascii="Times New Roman" w:hAnsi="Times New Roman"/>
          <w:szCs w:val="24"/>
        </w:rPr>
        <w:t>The</w:t>
      </w:r>
      <w:r w:rsidR="00FE11BE">
        <w:rPr>
          <w:rFonts w:ascii="Times New Roman" w:hAnsi="Times New Roman"/>
          <w:szCs w:val="24"/>
        </w:rPr>
        <w:t xml:space="preserve"> Office of the Inspector General, New Jersey Office of Investigations</w:t>
      </w:r>
      <w:r w:rsidR="003219AD">
        <w:rPr>
          <w:rFonts w:ascii="Times New Roman" w:hAnsi="Times New Roman"/>
          <w:szCs w:val="24"/>
        </w:rPr>
        <w:t xml:space="preserve"> (OIG OI)</w:t>
      </w:r>
      <w:r w:rsidR="008F0F02">
        <w:rPr>
          <w:rFonts w:ascii="Times New Roman" w:hAnsi="Times New Roman"/>
          <w:szCs w:val="24"/>
        </w:rPr>
        <w:t>,</w:t>
      </w:r>
      <w:r w:rsidR="00FE11BE">
        <w:rPr>
          <w:rFonts w:ascii="Times New Roman" w:hAnsi="Times New Roman"/>
          <w:szCs w:val="24"/>
        </w:rPr>
        <w:t xml:space="preserve"> will </w:t>
      </w:r>
      <w:r w:rsidR="006D64C9">
        <w:rPr>
          <w:rFonts w:ascii="Times New Roman" w:hAnsi="Times New Roman"/>
          <w:szCs w:val="24"/>
        </w:rPr>
        <w:t xml:space="preserve">decide if the </w:t>
      </w:r>
      <w:r w:rsidR="001337F2">
        <w:rPr>
          <w:rFonts w:ascii="Times New Roman" w:hAnsi="Times New Roman"/>
          <w:szCs w:val="24"/>
        </w:rPr>
        <w:t>allegation meets</w:t>
      </w:r>
      <w:r w:rsidR="006D64C9">
        <w:rPr>
          <w:rFonts w:ascii="Times New Roman" w:hAnsi="Times New Roman"/>
          <w:szCs w:val="24"/>
        </w:rPr>
        <w:t xml:space="preserve"> the established OIG</w:t>
      </w:r>
      <w:r w:rsidR="00862BD9">
        <w:rPr>
          <w:rFonts w:ascii="Times New Roman" w:hAnsi="Times New Roman"/>
          <w:szCs w:val="24"/>
        </w:rPr>
        <w:t xml:space="preserve"> </w:t>
      </w:r>
      <w:r w:rsidR="006D64C9">
        <w:rPr>
          <w:rFonts w:ascii="Times New Roman" w:hAnsi="Times New Roman"/>
          <w:szCs w:val="24"/>
        </w:rPr>
        <w:t>OI guidelines and will open</w:t>
      </w:r>
      <w:r w:rsidR="00642C67">
        <w:rPr>
          <w:rFonts w:ascii="Times New Roman" w:hAnsi="Times New Roman"/>
          <w:szCs w:val="24"/>
        </w:rPr>
        <w:t xml:space="preserve"> the case as an investigation </w:t>
      </w:r>
      <w:r w:rsidR="006D64C9">
        <w:rPr>
          <w:rFonts w:ascii="Times New Roman" w:hAnsi="Times New Roman"/>
          <w:szCs w:val="24"/>
        </w:rPr>
        <w:t>or close the case.</w:t>
      </w:r>
    </w:p>
    <w:p w:rsidR="006D64C9" w:rsidRDefault="006D64C9" w:rsidP="00B24CF4">
      <w:pPr>
        <w:rPr>
          <w:rFonts w:ascii="Times New Roman" w:hAnsi="Times New Roman"/>
          <w:szCs w:val="24"/>
        </w:rPr>
      </w:pPr>
    </w:p>
    <w:p w:rsidR="00663B30" w:rsidRDefault="00663B30" w:rsidP="00663B30">
      <w:pPr>
        <w:rPr>
          <w:rFonts w:ascii="Times New Roman" w:hAnsi="Times New Roman"/>
          <w:b/>
          <w:szCs w:val="24"/>
        </w:rPr>
      </w:pPr>
      <w:r w:rsidRPr="001E2CD1">
        <w:rPr>
          <w:rFonts w:ascii="Times New Roman" w:hAnsi="Times New Roman"/>
          <w:b/>
          <w:szCs w:val="24"/>
        </w:rPr>
        <w:t>Who Can Report Fraud?</w:t>
      </w:r>
    </w:p>
    <w:p w:rsidR="00663B30" w:rsidRPr="001E2CD1" w:rsidRDefault="00663B30" w:rsidP="00663B30">
      <w:pPr>
        <w:rPr>
          <w:rFonts w:ascii="Times New Roman" w:hAnsi="Times New Roman"/>
          <w:b/>
          <w:szCs w:val="24"/>
        </w:rPr>
      </w:pPr>
    </w:p>
    <w:p w:rsidR="00663B30" w:rsidRDefault="00663B30" w:rsidP="00663B30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Any SSA Employee (FO, TSC, PSC, and ODAR) </w:t>
      </w:r>
    </w:p>
    <w:p w:rsidR="00663B30" w:rsidRDefault="00663B30" w:rsidP="00663B30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DDS Employees (Management, Disability Examiners &amp; Medical Consultants)</w:t>
      </w:r>
    </w:p>
    <w:p w:rsidR="00663B30" w:rsidRDefault="00663B30" w:rsidP="00663B30">
      <w:pPr>
        <w:pStyle w:val="ListParagraph"/>
        <w:numPr>
          <w:ilvl w:val="0"/>
          <w:numId w:val="1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Civilians/Claimants</w:t>
      </w:r>
    </w:p>
    <w:p w:rsidR="00663B30" w:rsidRDefault="00663B30" w:rsidP="00B24CF4">
      <w:pPr>
        <w:rPr>
          <w:rFonts w:ascii="Times New Roman" w:hAnsi="Times New Roman"/>
          <w:b/>
          <w:szCs w:val="24"/>
          <w:u w:val="single"/>
        </w:rPr>
      </w:pPr>
    </w:p>
    <w:p w:rsidR="00663B30" w:rsidRDefault="00663B30" w:rsidP="00B24CF4">
      <w:pPr>
        <w:rPr>
          <w:rFonts w:ascii="Times New Roman" w:hAnsi="Times New Roman"/>
          <w:b/>
          <w:szCs w:val="24"/>
          <w:u w:val="single"/>
        </w:rPr>
      </w:pPr>
    </w:p>
    <w:p w:rsidR="006D64C9" w:rsidRPr="0077613F" w:rsidRDefault="006D64C9" w:rsidP="00B24CF4">
      <w:pPr>
        <w:rPr>
          <w:rFonts w:ascii="Times New Roman" w:hAnsi="Times New Roman"/>
          <w:b/>
          <w:szCs w:val="24"/>
        </w:rPr>
      </w:pPr>
      <w:r w:rsidRPr="0077613F">
        <w:rPr>
          <w:rFonts w:ascii="Times New Roman" w:hAnsi="Times New Roman"/>
          <w:b/>
          <w:szCs w:val="24"/>
        </w:rPr>
        <w:t>Referrals to the CDI Unit</w:t>
      </w:r>
    </w:p>
    <w:p w:rsidR="001972E3" w:rsidRDefault="006D64C9" w:rsidP="00B24CF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22083D" w:rsidRDefault="006D64C9" w:rsidP="0022083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Referrals to the CDI U</w:t>
      </w:r>
      <w:r w:rsidR="00663B30">
        <w:rPr>
          <w:rFonts w:ascii="Times New Roman" w:hAnsi="Times New Roman"/>
          <w:szCs w:val="24"/>
        </w:rPr>
        <w:t>nits come from a variety of sources.  Most referrals come from the Disability Determinatio</w:t>
      </w:r>
      <w:r w:rsidR="001A2B39">
        <w:rPr>
          <w:rFonts w:ascii="Times New Roman" w:hAnsi="Times New Roman"/>
          <w:szCs w:val="24"/>
        </w:rPr>
        <w:t xml:space="preserve">ns Services.  </w:t>
      </w:r>
      <w:r w:rsidR="0022083D">
        <w:rPr>
          <w:rFonts w:ascii="Times New Roman" w:hAnsi="Times New Roman"/>
          <w:szCs w:val="24"/>
        </w:rPr>
        <w:t>However, r</w:t>
      </w:r>
      <w:r w:rsidR="001A2B39">
        <w:rPr>
          <w:rFonts w:ascii="Times New Roman" w:hAnsi="Times New Roman"/>
          <w:szCs w:val="24"/>
        </w:rPr>
        <w:t>eferrals also originate from Field Offices, Regional Offices, SSA fraud Hotline, other law enforcement agencies</w:t>
      </w:r>
      <w:r w:rsidR="0022083D">
        <w:rPr>
          <w:rFonts w:ascii="Times New Roman" w:hAnsi="Times New Roman"/>
          <w:szCs w:val="24"/>
        </w:rPr>
        <w:t>,</w:t>
      </w:r>
      <w:r w:rsidR="001A2B39">
        <w:rPr>
          <w:rFonts w:ascii="Times New Roman" w:hAnsi="Times New Roman"/>
          <w:szCs w:val="24"/>
        </w:rPr>
        <w:t xml:space="preserve"> and the </w:t>
      </w:r>
      <w:r w:rsidR="001337F2">
        <w:rPr>
          <w:rFonts w:ascii="Times New Roman" w:hAnsi="Times New Roman"/>
          <w:szCs w:val="24"/>
        </w:rPr>
        <w:t>public</w:t>
      </w:r>
      <w:r w:rsidR="001A2B39">
        <w:rPr>
          <w:rFonts w:ascii="Times New Roman" w:hAnsi="Times New Roman"/>
          <w:szCs w:val="24"/>
        </w:rPr>
        <w:t xml:space="preserve">.  When </w:t>
      </w:r>
      <w:r w:rsidR="003D09DB">
        <w:rPr>
          <w:rFonts w:ascii="Times New Roman" w:hAnsi="Times New Roman"/>
          <w:szCs w:val="24"/>
        </w:rPr>
        <w:t>the CDI Unit reviews a referral</w:t>
      </w:r>
      <w:r w:rsidR="001A2B39">
        <w:rPr>
          <w:rFonts w:ascii="Times New Roman" w:hAnsi="Times New Roman"/>
          <w:szCs w:val="24"/>
        </w:rPr>
        <w:t>, the Team Leader decide</w:t>
      </w:r>
      <w:r w:rsidR="0022083D">
        <w:rPr>
          <w:rFonts w:ascii="Times New Roman" w:hAnsi="Times New Roman"/>
          <w:szCs w:val="24"/>
        </w:rPr>
        <w:t>s</w:t>
      </w:r>
      <w:r w:rsidR="001A2B39">
        <w:rPr>
          <w:rFonts w:ascii="Times New Roman" w:hAnsi="Times New Roman"/>
          <w:szCs w:val="24"/>
        </w:rPr>
        <w:t xml:space="preserve"> if </w:t>
      </w:r>
      <w:r w:rsidR="0022083D">
        <w:rPr>
          <w:rFonts w:ascii="Times New Roman" w:hAnsi="Times New Roman"/>
          <w:szCs w:val="24"/>
        </w:rPr>
        <w:t xml:space="preserve">the referral </w:t>
      </w:r>
      <w:r w:rsidR="001A2B39">
        <w:rPr>
          <w:rFonts w:ascii="Times New Roman" w:hAnsi="Times New Roman"/>
          <w:szCs w:val="24"/>
        </w:rPr>
        <w:t>meets established OIG</w:t>
      </w:r>
      <w:r w:rsidR="000B3526">
        <w:rPr>
          <w:rFonts w:ascii="Times New Roman" w:hAnsi="Times New Roman"/>
          <w:szCs w:val="24"/>
        </w:rPr>
        <w:t xml:space="preserve"> </w:t>
      </w:r>
      <w:r w:rsidR="001A2B39">
        <w:rPr>
          <w:rFonts w:ascii="Times New Roman" w:hAnsi="Times New Roman"/>
          <w:szCs w:val="24"/>
        </w:rPr>
        <w:t xml:space="preserve">OI </w:t>
      </w:r>
      <w:r w:rsidR="001337F2">
        <w:rPr>
          <w:rFonts w:ascii="Times New Roman" w:hAnsi="Times New Roman"/>
          <w:szCs w:val="24"/>
        </w:rPr>
        <w:t xml:space="preserve">guidelines for opening a criminal investigation.  The CDI Team Leader has 45 days to </w:t>
      </w:r>
      <w:r w:rsidR="0022083D">
        <w:rPr>
          <w:rFonts w:ascii="Times New Roman" w:hAnsi="Times New Roman"/>
          <w:szCs w:val="24"/>
        </w:rPr>
        <w:t xml:space="preserve">review an allegation to determine whether to open as an investigation or close </w:t>
      </w:r>
      <w:r w:rsidR="000B3526">
        <w:rPr>
          <w:rFonts w:ascii="Times New Roman" w:hAnsi="Times New Roman"/>
          <w:szCs w:val="24"/>
        </w:rPr>
        <w:t>the issue</w:t>
      </w:r>
      <w:r w:rsidR="00CC64DC">
        <w:rPr>
          <w:rFonts w:ascii="Times New Roman" w:hAnsi="Times New Roman"/>
          <w:szCs w:val="24"/>
        </w:rPr>
        <w:t>.  The CDI U</w:t>
      </w:r>
      <w:r w:rsidR="0022083D">
        <w:rPr>
          <w:rFonts w:ascii="Times New Roman" w:hAnsi="Times New Roman"/>
          <w:szCs w:val="24"/>
        </w:rPr>
        <w:t>nit considers the following in the</w:t>
      </w:r>
      <w:r w:rsidR="008347CA">
        <w:rPr>
          <w:rFonts w:ascii="Times New Roman" w:hAnsi="Times New Roman"/>
          <w:szCs w:val="24"/>
        </w:rPr>
        <w:t>ir</w:t>
      </w:r>
      <w:r w:rsidR="0022083D">
        <w:rPr>
          <w:rFonts w:ascii="Times New Roman" w:hAnsi="Times New Roman"/>
          <w:szCs w:val="24"/>
        </w:rPr>
        <w:t xml:space="preserve"> evaluation:</w:t>
      </w:r>
    </w:p>
    <w:p w:rsidR="0022083D" w:rsidRDefault="0022083D" w:rsidP="0022083D">
      <w:pPr>
        <w:rPr>
          <w:rFonts w:ascii="Times New Roman" w:hAnsi="Times New Roman"/>
          <w:szCs w:val="24"/>
        </w:rPr>
      </w:pPr>
    </w:p>
    <w:p w:rsidR="0022083D" w:rsidRDefault="0022083D" w:rsidP="0022083D">
      <w:pPr>
        <w:pStyle w:val="ListParagraph"/>
        <w:numPr>
          <w:ilvl w:val="2"/>
          <w:numId w:val="2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Is there potential fraud?</w:t>
      </w:r>
    </w:p>
    <w:p w:rsidR="0022083D" w:rsidRDefault="0022083D" w:rsidP="0022083D">
      <w:pPr>
        <w:pStyle w:val="ListParagraph"/>
        <w:numPr>
          <w:ilvl w:val="2"/>
          <w:numId w:val="2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Does the referral contain any high risk factors?</w:t>
      </w:r>
    </w:p>
    <w:p w:rsidR="0022083D" w:rsidRDefault="0022083D" w:rsidP="0022083D">
      <w:pPr>
        <w:pStyle w:val="ListParagraph"/>
        <w:numPr>
          <w:ilvl w:val="2"/>
          <w:numId w:val="2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Does the referral meet OIG</w:t>
      </w:r>
      <w:r w:rsidR="0044637C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Cs w:val="24"/>
        </w:rPr>
        <w:t>OI case opening guidelines? Such as</w:t>
      </w:r>
    </w:p>
    <w:p w:rsidR="003D09DB" w:rsidRDefault="003D09DB" w:rsidP="0022083D">
      <w:pPr>
        <w:pStyle w:val="ListParagraph"/>
        <w:numPr>
          <w:ilvl w:val="3"/>
          <w:numId w:val="2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Specificity of the allegation</w:t>
      </w:r>
    </w:p>
    <w:p w:rsidR="0022083D" w:rsidRPr="0022083D" w:rsidRDefault="003D09DB" w:rsidP="0022083D">
      <w:pPr>
        <w:pStyle w:val="ListParagraph"/>
        <w:numPr>
          <w:ilvl w:val="3"/>
          <w:numId w:val="2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Primary and/or shared jurisdiction</w:t>
      </w:r>
      <w:r w:rsidR="00952801">
        <w:rPr>
          <w:rFonts w:ascii="Times New Roman" w:hAnsi="Times New Roman"/>
          <w:szCs w:val="24"/>
        </w:rPr>
        <w:br/>
      </w:r>
      <w:r w:rsidR="00952801">
        <w:rPr>
          <w:rFonts w:ascii="Times New Roman" w:hAnsi="Times New Roman"/>
          <w:szCs w:val="24"/>
        </w:rPr>
        <w:tab/>
      </w:r>
    </w:p>
    <w:p w:rsidR="00E42C1A" w:rsidRPr="0077613F" w:rsidRDefault="00E42C1A" w:rsidP="00D53576">
      <w:pPr>
        <w:rPr>
          <w:rFonts w:ascii="Times New Roman" w:hAnsi="Times New Roman"/>
          <w:b/>
          <w:szCs w:val="24"/>
        </w:rPr>
      </w:pPr>
      <w:r w:rsidRPr="0077613F">
        <w:rPr>
          <w:rFonts w:ascii="Times New Roman" w:hAnsi="Times New Roman"/>
          <w:b/>
          <w:szCs w:val="24"/>
        </w:rPr>
        <w:t xml:space="preserve">CDI </w:t>
      </w:r>
      <w:r w:rsidR="0042252C" w:rsidRPr="0077613F">
        <w:rPr>
          <w:rFonts w:ascii="Times New Roman" w:hAnsi="Times New Roman"/>
          <w:b/>
          <w:szCs w:val="24"/>
        </w:rPr>
        <w:t>U</w:t>
      </w:r>
      <w:r w:rsidRPr="0077613F">
        <w:rPr>
          <w:rFonts w:ascii="Times New Roman" w:hAnsi="Times New Roman"/>
          <w:b/>
          <w:szCs w:val="24"/>
        </w:rPr>
        <w:t>nit A</w:t>
      </w:r>
      <w:r w:rsidR="00817CCC">
        <w:rPr>
          <w:rFonts w:ascii="Times New Roman" w:hAnsi="Times New Roman"/>
          <w:b/>
          <w:szCs w:val="24"/>
        </w:rPr>
        <w:t>ctions on Receipt of a Fraud Referral</w:t>
      </w:r>
      <w:r w:rsidRPr="0077613F">
        <w:rPr>
          <w:rFonts w:ascii="Times New Roman" w:hAnsi="Times New Roman"/>
          <w:b/>
          <w:szCs w:val="24"/>
        </w:rPr>
        <w:t xml:space="preserve"> </w:t>
      </w:r>
    </w:p>
    <w:p w:rsidR="00AC5CF3" w:rsidRDefault="00AC5CF3" w:rsidP="00D53576">
      <w:pPr>
        <w:rPr>
          <w:rFonts w:ascii="Times New Roman" w:hAnsi="Times New Roman"/>
          <w:b/>
          <w:szCs w:val="24"/>
          <w:u w:val="single"/>
        </w:rPr>
      </w:pPr>
    </w:p>
    <w:p w:rsidR="00AC5CF3" w:rsidRDefault="00AC5CF3" w:rsidP="00AC5CF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Referral </w:t>
      </w:r>
      <w:r w:rsidRPr="0042252C">
        <w:rPr>
          <w:rFonts w:ascii="Times New Roman" w:hAnsi="Times New Roman"/>
          <w:szCs w:val="24"/>
          <w:u w:val="single"/>
        </w:rPr>
        <w:t>is</w:t>
      </w:r>
      <w:r>
        <w:rPr>
          <w:rFonts w:ascii="Times New Roman" w:hAnsi="Times New Roman"/>
          <w:szCs w:val="24"/>
        </w:rPr>
        <w:t xml:space="preserve"> accepted:</w:t>
      </w:r>
    </w:p>
    <w:p w:rsidR="00AC5CF3" w:rsidRDefault="00AC5CF3" w:rsidP="00AC5CF3">
      <w:pPr>
        <w:pStyle w:val="ListParagraph"/>
        <w:numPr>
          <w:ilvl w:val="0"/>
          <w:numId w:val="26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National Investigative Case Management System (NICMS) OI case number will be assigned for tracking purposes</w:t>
      </w:r>
      <w:r w:rsidR="008347CA">
        <w:rPr>
          <w:rFonts w:ascii="Times New Roman" w:hAnsi="Times New Roman"/>
          <w:szCs w:val="24"/>
        </w:rPr>
        <w:t>.</w:t>
      </w:r>
    </w:p>
    <w:p w:rsidR="00AC5CF3" w:rsidRDefault="00AC5CF3" w:rsidP="00AC5CF3">
      <w:pPr>
        <w:pStyle w:val="ListParagraph"/>
        <w:numPr>
          <w:ilvl w:val="0"/>
          <w:numId w:val="26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investigation will be conducted </w:t>
      </w:r>
      <w:r w:rsidR="004B057E">
        <w:rPr>
          <w:rFonts w:ascii="Times New Roman" w:hAnsi="Times New Roman"/>
          <w:szCs w:val="24"/>
        </w:rPr>
        <w:t xml:space="preserve">and </w:t>
      </w:r>
      <w:r>
        <w:rPr>
          <w:rFonts w:ascii="Times New Roman" w:hAnsi="Times New Roman"/>
          <w:szCs w:val="24"/>
        </w:rPr>
        <w:t xml:space="preserve">a CDI Summary Report of Investigation (ROI) </w:t>
      </w:r>
      <w:r w:rsidR="004B057E">
        <w:rPr>
          <w:rFonts w:ascii="Times New Roman" w:hAnsi="Times New Roman"/>
          <w:szCs w:val="24"/>
        </w:rPr>
        <w:t xml:space="preserve">will be sent to the referring component. </w:t>
      </w:r>
    </w:p>
    <w:p w:rsidR="00AC5CF3" w:rsidRDefault="00AC5CF3" w:rsidP="00AC5CF3">
      <w:pPr>
        <w:pStyle w:val="ListParagraph"/>
        <w:numPr>
          <w:ilvl w:val="0"/>
          <w:numId w:val="26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If the case has prosecutive merit, it may be presented to Federal or State prosecutors for consideration of criminal or civil prosecution.</w:t>
      </w:r>
    </w:p>
    <w:p w:rsidR="00AC5CF3" w:rsidRPr="0042252C" w:rsidRDefault="00AC5CF3" w:rsidP="00AC5CF3">
      <w:pPr>
        <w:pStyle w:val="ListParagraph"/>
        <w:numPr>
          <w:ilvl w:val="0"/>
          <w:numId w:val="26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Application of administrative sanctions by SSA may also apply.  The Office of Counsel to the Inspector General (OCIG</w:t>
      </w:r>
      <w:r w:rsidR="006D04CE">
        <w:rPr>
          <w:rFonts w:ascii="Times New Roman" w:hAnsi="Times New Roman"/>
          <w:szCs w:val="24"/>
        </w:rPr>
        <w:t>) is</w:t>
      </w:r>
      <w:r>
        <w:rPr>
          <w:rFonts w:ascii="Times New Roman" w:hAnsi="Times New Roman"/>
          <w:szCs w:val="24"/>
        </w:rPr>
        <w:t xml:space="preserve"> responsible for forwarding t</w:t>
      </w:r>
      <w:r w:rsidR="006A54CC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 xml:space="preserve"> SSA any cases that may be good candidates for administrative sanctions.</w:t>
      </w:r>
    </w:p>
    <w:p w:rsidR="0042252C" w:rsidRDefault="0042252C" w:rsidP="00D53576">
      <w:pPr>
        <w:rPr>
          <w:rFonts w:ascii="Times New Roman" w:hAnsi="Times New Roman"/>
          <w:b/>
          <w:szCs w:val="24"/>
        </w:rPr>
      </w:pPr>
    </w:p>
    <w:p w:rsidR="0042252C" w:rsidRDefault="0042252C" w:rsidP="00D5357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Referral </w:t>
      </w:r>
      <w:r w:rsidR="000234F1">
        <w:rPr>
          <w:rFonts w:ascii="Times New Roman" w:hAnsi="Times New Roman"/>
          <w:szCs w:val="24"/>
        </w:rPr>
        <w:t xml:space="preserve">is </w:t>
      </w:r>
      <w:r w:rsidRPr="0042252C">
        <w:rPr>
          <w:rFonts w:ascii="Times New Roman" w:hAnsi="Times New Roman"/>
          <w:szCs w:val="24"/>
          <w:u w:val="single"/>
        </w:rPr>
        <w:t>not</w:t>
      </w:r>
      <w:r>
        <w:rPr>
          <w:rFonts w:ascii="Times New Roman" w:hAnsi="Times New Roman"/>
          <w:szCs w:val="24"/>
        </w:rPr>
        <w:t xml:space="preserve"> accepted:</w:t>
      </w:r>
    </w:p>
    <w:p w:rsidR="00365A02" w:rsidRDefault="00D53576" w:rsidP="0042252C">
      <w:pPr>
        <w:pStyle w:val="ListParagraph"/>
        <w:numPr>
          <w:ilvl w:val="0"/>
          <w:numId w:val="24"/>
        </w:numPr>
        <w:rPr>
          <w:rFonts w:ascii="Times New Roman" w:hAnsi="Times New Roman"/>
          <w:szCs w:val="24"/>
        </w:rPr>
      </w:pPr>
      <w:r w:rsidRPr="0042252C">
        <w:rPr>
          <w:rFonts w:ascii="Times New Roman" w:hAnsi="Times New Roman"/>
          <w:szCs w:val="24"/>
        </w:rPr>
        <w:t xml:space="preserve">If the CDI </w:t>
      </w:r>
      <w:r w:rsidR="00CC64DC">
        <w:rPr>
          <w:rFonts w:ascii="Times New Roman" w:hAnsi="Times New Roman"/>
          <w:szCs w:val="24"/>
        </w:rPr>
        <w:t>U</w:t>
      </w:r>
      <w:r w:rsidRPr="0042252C">
        <w:rPr>
          <w:rFonts w:ascii="Times New Roman" w:hAnsi="Times New Roman"/>
          <w:szCs w:val="24"/>
        </w:rPr>
        <w:t>nit does not accept the referral for investigation, the e-8551 Programmatic Fraud Reporting Form will be returned to the referring DDS or FO within a timeframe</w:t>
      </w:r>
      <w:r w:rsidR="00596DFB">
        <w:rPr>
          <w:rFonts w:ascii="Times New Roman" w:hAnsi="Times New Roman"/>
          <w:szCs w:val="24"/>
        </w:rPr>
        <w:t xml:space="preserve"> goal of 10 days</w:t>
      </w:r>
      <w:r w:rsidR="008347CA">
        <w:rPr>
          <w:rFonts w:ascii="Times New Roman" w:hAnsi="Times New Roman"/>
          <w:szCs w:val="24"/>
        </w:rPr>
        <w:t>.</w:t>
      </w:r>
    </w:p>
    <w:p w:rsidR="0042252C" w:rsidRDefault="0042252C" w:rsidP="0042252C">
      <w:pPr>
        <w:pStyle w:val="ListParagraph"/>
        <w:numPr>
          <w:ilvl w:val="0"/>
          <w:numId w:val="2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returned Form SSA e-8551 should explain why the referral was not accepted for investigation</w:t>
      </w:r>
      <w:r w:rsidR="008347CA">
        <w:rPr>
          <w:rFonts w:ascii="Times New Roman" w:hAnsi="Times New Roman"/>
          <w:szCs w:val="24"/>
        </w:rPr>
        <w:t>.</w:t>
      </w:r>
    </w:p>
    <w:p w:rsidR="008967D9" w:rsidRPr="00952801" w:rsidRDefault="0042252C" w:rsidP="00952801">
      <w:pPr>
        <w:pStyle w:val="ListParagraph"/>
        <w:numPr>
          <w:ilvl w:val="0"/>
          <w:numId w:val="24"/>
        </w:numPr>
        <w:spacing w:after="6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explanation will help DDS or the FO understand referra</w:t>
      </w:r>
      <w:r w:rsidR="00596DFB">
        <w:rPr>
          <w:rFonts w:ascii="Times New Roman" w:hAnsi="Times New Roman"/>
          <w:szCs w:val="24"/>
        </w:rPr>
        <w:t>l criteria for future referrals</w:t>
      </w:r>
      <w:r w:rsidR="008347CA">
        <w:rPr>
          <w:rFonts w:ascii="Times New Roman" w:hAnsi="Times New Roman"/>
          <w:szCs w:val="24"/>
        </w:rPr>
        <w:t>.</w:t>
      </w:r>
    </w:p>
    <w:p w:rsidR="005F5F84" w:rsidRPr="00061EDF" w:rsidRDefault="00642C67" w:rsidP="00183AF1">
      <w:pPr>
        <w:widowControl/>
        <w:spacing w:before="100" w:beforeAutospacing="1" w:after="100" w:afterAutospacing="1"/>
        <w:rPr>
          <w:rFonts w:ascii="Times New Roman" w:hAnsi="Times New Roman"/>
          <w:szCs w:val="24"/>
        </w:rPr>
      </w:pPr>
      <w:r w:rsidRPr="0077613F">
        <w:rPr>
          <w:rFonts w:ascii="Times New Roman" w:hAnsi="Times New Roman"/>
          <w:b/>
          <w:szCs w:val="24"/>
        </w:rPr>
        <w:lastRenderedPageBreak/>
        <w:t>Field Office/DDS</w:t>
      </w:r>
      <w:r w:rsidR="003400D7" w:rsidRPr="0077613F">
        <w:rPr>
          <w:rFonts w:ascii="Times New Roman" w:hAnsi="Times New Roman"/>
          <w:b/>
          <w:szCs w:val="24"/>
        </w:rPr>
        <w:t>-</w:t>
      </w:r>
      <w:r w:rsidRPr="0077613F">
        <w:rPr>
          <w:rFonts w:ascii="Times New Roman" w:hAnsi="Times New Roman"/>
          <w:b/>
          <w:szCs w:val="24"/>
        </w:rPr>
        <w:t xml:space="preserve"> </w:t>
      </w:r>
      <w:r w:rsidR="00F94C41">
        <w:rPr>
          <w:rFonts w:ascii="Times New Roman" w:hAnsi="Times New Roman"/>
          <w:b/>
          <w:szCs w:val="24"/>
        </w:rPr>
        <w:t xml:space="preserve">Fraud or Similar Fault </w:t>
      </w:r>
      <w:r w:rsidRPr="0077613F">
        <w:rPr>
          <w:rFonts w:ascii="Times New Roman" w:hAnsi="Times New Roman"/>
          <w:b/>
          <w:szCs w:val="24"/>
        </w:rPr>
        <w:t>High</w:t>
      </w:r>
      <w:r w:rsidR="00F83B8F">
        <w:rPr>
          <w:rFonts w:ascii="Times New Roman" w:hAnsi="Times New Roman"/>
          <w:b/>
          <w:szCs w:val="24"/>
        </w:rPr>
        <w:t>-</w:t>
      </w:r>
      <w:r w:rsidRPr="0077613F">
        <w:rPr>
          <w:rFonts w:ascii="Times New Roman" w:hAnsi="Times New Roman"/>
          <w:b/>
          <w:szCs w:val="24"/>
        </w:rPr>
        <w:t>Risk Factors</w:t>
      </w:r>
      <w:r w:rsidR="00061EDF">
        <w:rPr>
          <w:rFonts w:ascii="Times New Roman" w:hAnsi="Times New Roman"/>
          <w:b/>
          <w:szCs w:val="24"/>
        </w:rPr>
        <w:t xml:space="preserve"> to consider (</w:t>
      </w:r>
      <w:r w:rsidR="00061EDF">
        <w:rPr>
          <w:rFonts w:ascii="Times New Roman" w:hAnsi="Times New Roman"/>
          <w:szCs w:val="24"/>
        </w:rPr>
        <w:t xml:space="preserve">Field Office POMS </w:t>
      </w:r>
      <w:hyperlink r:id="rId12" w:history="1">
        <w:r w:rsidR="00061EDF" w:rsidRPr="003348DD">
          <w:rPr>
            <w:rStyle w:val="Hyperlink"/>
            <w:rFonts w:ascii="Times New Roman" w:hAnsi="Times New Roman"/>
            <w:szCs w:val="24"/>
          </w:rPr>
          <w:t>DI 11006.005</w:t>
        </w:r>
      </w:hyperlink>
      <w:r w:rsidR="00061EDF">
        <w:rPr>
          <w:rFonts w:ascii="Times New Roman" w:hAnsi="Times New Roman"/>
          <w:szCs w:val="24"/>
        </w:rPr>
        <w:t xml:space="preserve"> and DDS POMS </w:t>
      </w:r>
      <w:hyperlink r:id="rId13" w:history="1">
        <w:r w:rsidR="00061EDF" w:rsidRPr="00427CA8">
          <w:rPr>
            <w:rStyle w:val="Hyperlink"/>
            <w:rFonts w:ascii="Times New Roman" w:hAnsi="Times New Roman"/>
            <w:szCs w:val="24"/>
          </w:rPr>
          <w:t>DI 23025.005</w:t>
        </w:r>
      </w:hyperlink>
      <w:r w:rsidR="00061EDF">
        <w:rPr>
          <w:rFonts w:ascii="Times New Roman" w:hAnsi="Times New Roman"/>
          <w:szCs w:val="24"/>
        </w:rPr>
        <w:t>)</w:t>
      </w:r>
    </w:p>
    <w:p w:rsidR="009B2894" w:rsidRPr="009B2894" w:rsidRDefault="009B2894" w:rsidP="009B2894">
      <w:pPr>
        <w:pStyle w:val="ListParagraph"/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9B2894">
        <w:rPr>
          <w:rFonts w:ascii="Times New Roman" w:hAnsi="Times New Roman"/>
          <w:szCs w:val="24"/>
        </w:rPr>
        <w:t xml:space="preserve">Field Office observations of the claimant not consistent with the alleged disability </w:t>
      </w:r>
    </w:p>
    <w:p w:rsidR="009B2894" w:rsidRPr="009B2894" w:rsidRDefault="009B2894" w:rsidP="009B2894">
      <w:pPr>
        <w:pStyle w:val="ListParagraph"/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9B2894">
        <w:rPr>
          <w:rFonts w:ascii="Times New Roman" w:hAnsi="Times New Roman"/>
          <w:szCs w:val="24"/>
        </w:rPr>
        <w:t xml:space="preserve">Frequent reapplications and no current medical treating source </w:t>
      </w:r>
    </w:p>
    <w:p w:rsidR="009B2894" w:rsidRPr="00642C67" w:rsidRDefault="009B2894" w:rsidP="009B2894">
      <w:pPr>
        <w:pStyle w:val="ListParagraph"/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642C67">
        <w:rPr>
          <w:rFonts w:ascii="Times New Roman" w:hAnsi="Times New Roman"/>
          <w:szCs w:val="24"/>
        </w:rPr>
        <w:t xml:space="preserve">Coaching </w:t>
      </w:r>
      <w:r w:rsidR="00473ABF">
        <w:rPr>
          <w:rFonts w:ascii="Times New Roman" w:hAnsi="Times New Roman"/>
          <w:szCs w:val="24"/>
        </w:rPr>
        <w:t>by a middleman</w:t>
      </w:r>
    </w:p>
    <w:p w:rsidR="009B2894" w:rsidRDefault="009B2894" w:rsidP="009B2894">
      <w:pPr>
        <w:pStyle w:val="ListParagraph"/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9B2894">
        <w:rPr>
          <w:rFonts w:ascii="Times New Roman" w:hAnsi="Times New Roman"/>
          <w:szCs w:val="24"/>
        </w:rPr>
        <w:t xml:space="preserve">Poor cooperation </w:t>
      </w:r>
      <w:r w:rsidR="00E22D42">
        <w:rPr>
          <w:rFonts w:ascii="Times New Roman" w:hAnsi="Times New Roman"/>
          <w:szCs w:val="24"/>
        </w:rPr>
        <w:t>in the presence of a middleman</w:t>
      </w:r>
    </w:p>
    <w:p w:rsidR="00C0251B" w:rsidRDefault="00C0251B" w:rsidP="00C0251B">
      <w:pPr>
        <w:pStyle w:val="ListParagraph"/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Suspicious middlemen situations- third parties seeking control of interviews, limit direct access to claimants, appear at interviews or consultative examinations and may charge a fee for their services</w:t>
      </w:r>
    </w:p>
    <w:p w:rsidR="009B2894" w:rsidRPr="009B2894" w:rsidRDefault="00061EDF" w:rsidP="009B2894">
      <w:pPr>
        <w:pStyle w:val="ListParagraph"/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Same medical source- </w:t>
      </w:r>
      <w:r w:rsidRPr="00061EDF">
        <w:rPr>
          <w:rFonts w:ascii="Times New Roman" w:hAnsi="Times New Roman"/>
          <w:i/>
          <w:szCs w:val="24"/>
        </w:rPr>
        <w:t>Medical reports provided by a middleman are from the same source as other claima</w:t>
      </w:r>
      <w:r>
        <w:rPr>
          <w:rFonts w:ascii="Times New Roman" w:hAnsi="Times New Roman"/>
          <w:i/>
          <w:szCs w:val="24"/>
        </w:rPr>
        <w:t>nt</w:t>
      </w:r>
      <w:r w:rsidRPr="00061EDF">
        <w:rPr>
          <w:rFonts w:ascii="Times New Roman" w:hAnsi="Times New Roman"/>
          <w:i/>
          <w:szCs w:val="24"/>
        </w:rPr>
        <w:t>s assisted by the middleman</w:t>
      </w:r>
    </w:p>
    <w:p w:rsidR="000C5D8F" w:rsidRDefault="009B2894" w:rsidP="009B2894">
      <w:pPr>
        <w:pStyle w:val="ListParagraph"/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9B2894">
        <w:rPr>
          <w:rFonts w:ascii="Times New Roman" w:hAnsi="Times New Roman"/>
          <w:szCs w:val="24"/>
        </w:rPr>
        <w:t>Altered reports</w:t>
      </w:r>
    </w:p>
    <w:p w:rsidR="009B2894" w:rsidRPr="009B2894" w:rsidRDefault="000C5D8F" w:rsidP="009B2894">
      <w:pPr>
        <w:pStyle w:val="ListParagraph"/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Different sources documents- Same handwriting</w:t>
      </w:r>
      <w:r w:rsidR="009B2894" w:rsidRPr="009B2894">
        <w:rPr>
          <w:rFonts w:ascii="Times New Roman" w:hAnsi="Times New Roman"/>
          <w:szCs w:val="24"/>
        </w:rPr>
        <w:t xml:space="preserve"> </w:t>
      </w:r>
    </w:p>
    <w:p w:rsidR="009B2894" w:rsidRPr="009B2894" w:rsidRDefault="009B2894" w:rsidP="009B2894">
      <w:pPr>
        <w:pStyle w:val="ListParagraph"/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9B2894">
        <w:rPr>
          <w:rFonts w:ascii="Times New Roman" w:hAnsi="Times New Roman"/>
          <w:szCs w:val="24"/>
        </w:rPr>
        <w:t>Conflicting non-medical information</w:t>
      </w:r>
      <w:r w:rsidR="002D0650">
        <w:rPr>
          <w:rFonts w:ascii="Times New Roman" w:hAnsi="Times New Roman"/>
          <w:szCs w:val="24"/>
        </w:rPr>
        <w:t>/evidence</w:t>
      </w:r>
      <w:r w:rsidRPr="009B2894">
        <w:rPr>
          <w:rFonts w:ascii="Times New Roman" w:hAnsi="Times New Roman"/>
          <w:szCs w:val="24"/>
        </w:rPr>
        <w:t xml:space="preserve"> </w:t>
      </w:r>
    </w:p>
    <w:p w:rsidR="009B2894" w:rsidRPr="009B2894" w:rsidRDefault="009B2894" w:rsidP="009B2894">
      <w:pPr>
        <w:pStyle w:val="ListParagraph"/>
        <w:widowControl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9B2894">
        <w:rPr>
          <w:rFonts w:ascii="Times New Roman" w:hAnsi="Times New Roman"/>
          <w:szCs w:val="24"/>
        </w:rPr>
        <w:t xml:space="preserve">Medical source outside the geographical area </w:t>
      </w:r>
    </w:p>
    <w:p w:rsidR="006E6A60" w:rsidRDefault="006E6A60" w:rsidP="00642C67">
      <w:pPr>
        <w:pStyle w:val="ListParagraph"/>
        <w:widowControl/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6E6A60">
        <w:rPr>
          <w:rFonts w:ascii="Times New Roman" w:hAnsi="Times New Roman"/>
          <w:szCs w:val="24"/>
        </w:rPr>
        <w:t>Concealment of work</w:t>
      </w:r>
      <w:r w:rsidR="00642C67">
        <w:rPr>
          <w:rFonts w:ascii="Times New Roman" w:hAnsi="Times New Roman"/>
          <w:szCs w:val="24"/>
        </w:rPr>
        <w:t xml:space="preserve">- </w:t>
      </w:r>
      <w:r w:rsidR="00642C67" w:rsidRPr="00642C67">
        <w:rPr>
          <w:rFonts w:ascii="Times New Roman" w:hAnsi="Times New Roman"/>
          <w:i/>
          <w:szCs w:val="24"/>
        </w:rPr>
        <w:t>The field office (FO) may encounter potential fraud or similar fault (FSF) situations involving concealment of work activity in disability cases. Develop work activity and initiate a work continuing disability review (CDR), reopening, or referral to Office of the Inspector General (OIG) as appropriate</w:t>
      </w:r>
      <w:r w:rsidR="00642C67">
        <w:rPr>
          <w:rFonts w:ascii="Times New Roman" w:hAnsi="Times New Roman"/>
          <w:i/>
          <w:szCs w:val="24"/>
        </w:rPr>
        <w:t xml:space="preserve"> (</w:t>
      </w:r>
      <w:hyperlink r:id="rId14" w:history="1">
        <w:r w:rsidR="00642C67" w:rsidRPr="00427CA8">
          <w:rPr>
            <w:rStyle w:val="Hyperlink"/>
            <w:rFonts w:ascii="Times New Roman" w:hAnsi="Times New Roman"/>
            <w:i/>
            <w:szCs w:val="24"/>
          </w:rPr>
          <w:t>DI 11006.015</w:t>
        </w:r>
      </w:hyperlink>
      <w:r w:rsidR="00642C67">
        <w:rPr>
          <w:rFonts w:ascii="Times New Roman" w:hAnsi="Times New Roman"/>
          <w:i/>
          <w:szCs w:val="24"/>
        </w:rPr>
        <w:t>)</w:t>
      </w:r>
    </w:p>
    <w:p w:rsidR="006E6A60" w:rsidRDefault="006E6A60" w:rsidP="006E6A60">
      <w:pPr>
        <w:pStyle w:val="ListParagraph"/>
        <w:widowControl/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Similar Claims- alert to high volume of claims for different claimants showing similar histories</w:t>
      </w:r>
    </w:p>
    <w:p w:rsidR="00EA2A59" w:rsidRPr="00EA2A59" w:rsidRDefault="00EA2A59" w:rsidP="00EA2A59">
      <w:pPr>
        <w:pStyle w:val="ListParagraph"/>
        <w:numPr>
          <w:ilvl w:val="0"/>
          <w:numId w:val="19"/>
        </w:numPr>
        <w:rPr>
          <w:rFonts w:ascii="Times New Roman" w:hAnsi="Times New Roman"/>
          <w:szCs w:val="24"/>
        </w:rPr>
      </w:pPr>
      <w:r w:rsidRPr="00EA2A59">
        <w:rPr>
          <w:rFonts w:ascii="Times New Roman" w:hAnsi="Times New Roman"/>
          <w:szCs w:val="24"/>
        </w:rPr>
        <w:t>High risk allegations: anxiety and depression</w:t>
      </w:r>
      <w:r w:rsidR="00EA107D">
        <w:rPr>
          <w:rFonts w:ascii="Times New Roman" w:hAnsi="Times New Roman"/>
          <w:szCs w:val="24"/>
        </w:rPr>
        <w:t xml:space="preserve"> with no history or conflicting ADLs, etc</w:t>
      </w:r>
    </w:p>
    <w:p w:rsidR="00700860" w:rsidRDefault="00700860" w:rsidP="006E6A60">
      <w:pPr>
        <w:pStyle w:val="ListParagraph"/>
        <w:widowControl/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Failure to appear for a consultative examination</w:t>
      </w:r>
      <w:r w:rsidR="00061EDF">
        <w:rPr>
          <w:rFonts w:ascii="Times New Roman" w:hAnsi="Times New Roman"/>
          <w:szCs w:val="24"/>
        </w:rPr>
        <w:t xml:space="preserve"> when independent interpreter is scheduled</w:t>
      </w:r>
    </w:p>
    <w:p w:rsidR="00D43275" w:rsidRPr="00473ABF" w:rsidRDefault="00D43275" w:rsidP="00031741">
      <w:pPr>
        <w:pStyle w:val="ListParagraph"/>
        <w:widowControl/>
        <w:spacing w:before="100" w:beforeAutospacing="1" w:after="100" w:afterAutospacing="1"/>
        <w:rPr>
          <w:rStyle w:val="Hyperlink"/>
          <w:rFonts w:ascii="Times New Roman" w:hAnsi="Times New Roman"/>
          <w:color w:val="auto"/>
          <w:szCs w:val="24"/>
          <w:u w:val="none"/>
        </w:rPr>
      </w:pPr>
    </w:p>
    <w:p w:rsidR="00C92830" w:rsidRDefault="00C92830" w:rsidP="00C92830">
      <w:pPr>
        <w:widowControl/>
        <w:spacing w:before="100" w:beforeAutospacing="1" w:after="100" w:afterAutospacing="1"/>
        <w:rPr>
          <w:rFonts w:ascii="Times New Roman" w:hAnsi="Times New Roman"/>
          <w:b/>
          <w:bCs/>
          <w:szCs w:val="24"/>
        </w:rPr>
      </w:pPr>
      <w:r w:rsidRPr="00C92830">
        <w:rPr>
          <w:rFonts w:ascii="Times New Roman" w:hAnsi="Times New Roman"/>
          <w:b/>
          <w:bCs/>
          <w:szCs w:val="24"/>
        </w:rPr>
        <w:t>To report suspected fraud:</w:t>
      </w:r>
    </w:p>
    <w:p w:rsidR="00005831" w:rsidRPr="00786B3F" w:rsidRDefault="00005831" w:rsidP="00005831">
      <w:pPr>
        <w:rPr>
          <w:rFonts w:ascii="Times New Roman" w:hAnsi="Times New Roman"/>
          <w:szCs w:val="24"/>
        </w:rPr>
      </w:pPr>
      <w:r w:rsidRPr="00786B3F">
        <w:rPr>
          <w:rFonts w:ascii="Times New Roman" w:hAnsi="Times New Roman"/>
          <w:szCs w:val="24"/>
        </w:rPr>
        <w:t xml:space="preserve">When a </w:t>
      </w:r>
      <w:r w:rsidR="007E6EEA">
        <w:rPr>
          <w:rFonts w:ascii="Times New Roman" w:hAnsi="Times New Roman"/>
          <w:szCs w:val="24"/>
        </w:rPr>
        <w:t>F</w:t>
      </w:r>
      <w:r w:rsidRPr="00786B3F">
        <w:rPr>
          <w:rFonts w:ascii="Times New Roman" w:hAnsi="Times New Roman"/>
          <w:szCs w:val="24"/>
        </w:rPr>
        <w:t>ield Office (FO) or Disability Determination Service (DDS) has an issue that meets the high-risk definition</w:t>
      </w:r>
      <w:r w:rsidR="007E6EEA">
        <w:rPr>
          <w:rFonts w:ascii="Times New Roman" w:hAnsi="Times New Roman"/>
          <w:szCs w:val="24"/>
        </w:rPr>
        <w:t xml:space="preserve">, </w:t>
      </w:r>
      <w:r w:rsidRPr="00786B3F">
        <w:rPr>
          <w:rFonts w:ascii="Times New Roman" w:hAnsi="Times New Roman"/>
          <w:szCs w:val="24"/>
        </w:rPr>
        <w:t>report the violation involving fraud and abuse via the e8551</w:t>
      </w:r>
      <w:r>
        <w:rPr>
          <w:rFonts w:ascii="Times New Roman" w:hAnsi="Times New Roman"/>
          <w:szCs w:val="24"/>
        </w:rPr>
        <w:t xml:space="preserve"> process</w:t>
      </w:r>
      <w:r w:rsidRPr="00786B3F">
        <w:rPr>
          <w:rFonts w:ascii="Times New Roman" w:hAnsi="Times New Roman"/>
          <w:szCs w:val="24"/>
        </w:rPr>
        <w:t>.</w:t>
      </w:r>
      <w:r w:rsidR="007E6EEA">
        <w:rPr>
          <w:rFonts w:ascii="Times New Roman" w:hAnsi="Times New Roman"/>
          <w:szCs w:val="24"/>
        </w:rPr>
        <w:t xml:space="preserve"> (</w:t>
      </w:r>
      <w:hyperlink r:id="rId15" w:history="1">
        <w:r w:rsidR="0050555B">
          <w:rPr>
            <w:rStyle w:val="Hyperlink"/>
            <w:rFonts w:ascii="Times New Roman" w:hAnsi="Times New Roman"/>
            <w:szCs w:val="24"/>
          </w:rPr>
          <w:t xml:space="preserve">DI </w:t>
        </w:r>
        <w:r w:rsidR="00227AC6" w:rsidRPr="00227AC6">
          <w:rPr>
            <w:rStyle w:val="Hyperlink"/>
            <w:rFonts w:ascii="Times New Roman" w:hAnsi="Times New Roman"/>
            <w:szCs w:val="24"/>
          </w:rPr>
          <w:t>11006.025</w:t>
        </w:r>
      </w:hyperlink>
      <w:r w:rsidR="00227AC6">
        <w:rPr>
          <w:rFonts w:ascii="Times New Roman" w:hAnsi="Times New Roman"/>
          <w:szCs w:val="24"/>
        </w:rPr>
        <w:t xml:space="preserve"> </w:t>
      </w:r>
      <w:r w:rsidR="002C01E5">
        <w:rPr>
          <w:rFonts w:ascii="Times New Roman" w:hAnsi="Times New Roman"/>
          <w:szCs w:val="24"/>
        </w:rPr>
        <w:t xml:space="preserve">for </w:t>
      </w:r>
      <w:r w:rsidR="007E6EEA">
        <w:rPr>
          <w:rFonts w:ascii="Times New Roman" w:hAnsi="Times New Roman"/>
          <w:szCs w:val="24"/>
        </w:rPr>
        <w:t xml:space="preserve">FO referrals and </w:t>
      </w:r>
      <w:hyperlink r:id="rId16" w:history="1">
        <w:r w:rsidR="007E6EEA" w:rsidRPr="007E6EEA">
          <w:rPr>
            <w:rStyle w:val="Hyperlink"/>
            <w:rFonts w:ascii="Times New Roman" w:hAnsi="Times New Roman"/>
            <w:szCs w:val="24"/>
          </w:rPr>
          <w:t>DI 23025.015</w:t>
        </w:r>
      </w:hyperlink>
      <w:r w:rsidR="007E6EEA">
        <w:rPr>
          <w:rFonts w:ascii="Times New Roman" w:hAnsi="Times New Roman"/>
          <w:szCs w:val="24"/>
        </w:rPr>
        <w:t xml:space="preserve"> for DDS referrals)</w:t>
      </w:r>
      <w:r w:rsidRPr="00786B3F">
        <w:rPr>
          <w:rFonts w:ascii="Times New Roman" w:hAnsi="Times New Roman"/>
          <w:szCs w:val="24"/>
        </w:rPr>
        <w:t xml:space="preserve">  </w:t>
      </w:r>
    </w:p>
    <w:p w:rsidR="00C92830" w:rsidRPr="00560948" w:rsidRDefault="008121A0" w:rsidP="00C92830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560948">
        <w:rPr>
          <w:rFonts w:ascii="Times New Roman" w:hAnsi="Times New Roman"/>
          <w:szCs w:val="24"/>
        </w:rPr>
        <w:t>SSA and DDS employees can report</w:t>
      </w:r>
      <w:r w:rsidR="00C92830" w:rsidRPr="00560948">
        <w:rPr>
          <w:rFonts w:ascii="Times New Roman" w:hAnsi="Times New Roman"/>
          <w:szCs w:val="24"/>
        </w:rPr>
        <w:t xml:space="preserve"> program-related fraud and Social Security Number violations using the electronic form </w:t>
      </w:r>
      <w:hyperlink r:id="rId17" w:tgtFrame="_blank" w:history="1">
        <w:r w:rsidR="00560948">
          <w:rPr>
            <w:rStyle w:val="Hyperlink"/>
            <w:rFonts w:ascii="Times New Roman" w:hAnsi="Times New Roman"/>
            <w:szCs w:val="24"/>
          </w:rPr>
          <w:t>e8551-Fraud Entry</w:t>
        </w:r>
      </w:hyperlink>
      <w:r w:rsidR="00593CC3">
        <w:rPr>
          <w:rStyle w:val="Hyperlink"/>
          <w:rFonts w:ascii="Times New Roman" w:hAnsi="Times New Roman"/>
          <w:szCs w:val="24"/>
        </w:rPr>
        <w:t>.</w:t>
      </w:r>
      <w:r w:rsidR="008B75FD">
        <w:rPr>
          <w:rFonts w:ascii="Times New Roman" w:hAnsi="Times New Roman"/>
          <w:szCs w:val="24"/>
        </w:rPr>
        <w:t xml:space="preserve">  Follow local business process if supervisory review is required prior to submission of the e8551.</w:t>
      </w:r>
      <w:r w:rsidR="00560948" w:rsidRPr="00560948">
        <w:rPr>
          <w:rFonts w:ascii="Times New Roman" w:hAnsi="Times New Roman"/>
          <w:szCs w:val="24"/>
        </w:rPr>
        <w:br/>
      </w:r>
      <w:r w:rsidR="00560948" w:rsidRPr="00560948">
        <w:rPr>
          <w:rFonts w:ascii="Times New Roman" w:hAnsi="Times New Roman"/>
          <w:b/>
          <w:szCs w:val="24"/>
        </w:rPr>
        <w:t>Note</w:t>
      </w:r>
      <w:r w:rsidR="00560948" w:rsidRPr="00560948">
        <w:rPr>
          <w:rFonts w:ascii="Times New Roman" w:hAnsi="Times New Roman"/>
          <w:szCs w:val="24"/>
        </w:rPr>
        <w:t xml:space="preserve">: </w:t>
      </w:r>
      <w:r w:rsidR="00560948" w:rsidRPr="00560948">
        <w:rPr>
          <w:rFonts w:ascii="Times New Roman" w:hAnsi="Times New Roman"/>
          <w:i/>
          <w:szCs w:val="24"/>
        </w:rPr>
        <w:t>Remember to complete Section V, subsection c</w:t>
      </w:r>
      <w:r w:rsidR="00560948">
        <w:rPr>
          <w:rFonts w:ascii="Times New Roman" w:hAnsi="Times New Roman"/>
          <w:i/>
          <w:szCs w:val="24"/>
        </w:rPr>
        <w:t>,</w:t>
      </w:r>
      <w:r w:rsidR="00560948" w:rsidRPr="00560948">
        <w:rPr>
          <w:rFonts w:ascii="Times New Roman" w:hAnsi="Times New Roman"/>
          <w:i/>
          <w:szCs w:val="24"/>
        </w:rPr>
        <w:t xml:space="preserve"> which will automatically forward the e8551 to the designated CDI </w:t>
      </w:r>
      <w:r w:rsidR="00CC64DC">
        <w:rPr>
          <w:rFonts w:ascii="Times New Roman" w:hAnsi="Times New Roman"/>
          <w:i/>
          <w:szCs w:val="24"/>
        </w:rPr>
        <w:t>U</w:t>
      </w:r>
      <w:r w:rsidR="00560948" w:rsidRPr="00560948">
        <w:rPr>
          <w:rFonts w:ascii="Times New Roman" w:hAnsi="Times New Roman"/>
          <w:i/>
          <w:szCs w:val="24"/>
        </w:rPr>
        <w:t>nit in the drop down menu</w:t>
      </w:r>
      <w:r w:rsidR="00560948">
        <w:rPr>
          <w:rFonts w:ascii="Times New Roman" w:hAnsi="Times New Roman"/>
          <w:szCs w:val="24"/>
        </w:rPr>
        <w:t>.</w:t>
      </w:r>
      <w:r w:rsidR="00560948" w:rsidRPr="00560948">
        <w:rPr>
          <w:rFonts w:ascii="Times New Roman" w:hAnsi="Times New Roman"/>
          <w:szCs w:val="24"/>
        </w:rPr>
        <w:br/>
      </w:r>
    </w:p>
    <w:p w:rsidR="00C92830" w:rsidRDefault="008121A0" w:rsidP="008121A0">
      <w:pPr>
        <w:widowControl/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Civilians and Claimants can report fraud by contacting SSA’s OIG Fraud Hotline at </w:t>
      </w:r>
      <w:r w:rsidR="0077469A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>1</w:t>
      </w:r>
      <w:r w:rsidR="0077469A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800</w:t>
      </w:r>
      <w:r w:rsidR="0077469A">
        <w:rPr>
          <w:rFonts w:ascii="Times New Roman" w:hAnsi="Times New Roman"/>
          <w:szCs w:val="24"/>
        </w:rPr>
        <w:t>-2</w:t>
      </w:r>
      <w:r>
        <w:rPr>
          <w:rFonts w:ascii="Times New Roman" w:hAnsi="Times New Roman"/>
          <w:szCs w:val="24"/>
        </w:rPr>
        <w:t>69</w:t>
      </w:r>
      <w:r w:rsidR="0077469A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0271</w:t>
      </w:r>
      <w:r w:rsidR="0077469A">
        <w:rPr>
          <w:rFonts w:ascii="Times New Roman" w:hAnsi="Times New Roman"/>
          <w:szCs w:val="24"/>
        </w:rPr>
        <w:t xml:space="preserve"> (10am to 4pm EST)</w:t>
      </w:r>
      <w:r>
        <w:rPr>
          <w:rFonts w:ascii="Times New Roman" w:hAnsi="Times New Roman"/>
          <w:szCs w:val="24"/>
        </w:rPr>
        <w:t xml:space="preserve">, or they can visit the SSA OIG website </w:t>
      </w:r>
      <w:r w:rsidR="006D04CE">
        <w:rPr>
          <w:rFonts w:ascii="Times New Roman" w:hAnsi="Times New Roman"/>
          <w:szCs w:val="24"/>
        </w:rPr>
        <w:t>at</w:t>
      </w:r>
      <w:r>
        <w:rPr>
          <w:rFonts w:ascii="Times New Roman" w:hAnsi="Times New Roman"/>
          <w:szCs w:val="24"/>
        </w:rPr>
        <w:t xml:space="preserve"> </w:t>
      </w:r>
      <w:hyperlink r:id="rId18" w:history="1">
        <w:r w:rsidRPr="00D56C1E">
          <w:rPr>
            <w:rStyle w:val="Hyperlink"/>
            <w:rFonts w:ascii="Times New Roman" w:hAnsi="Times New Roman"/>
            <w:szCs w:val="24"/>
          </w:rPr>
          <w:t>http://oig.ssa.gov/</w:t>
        </w:r>
      </w:hyperlink>
      <w:r w:rsidR="00593CC3">
        <w:rPr>
          <w:rFonts w:ascii="Times New Roman" w:hAnsi="Times New Roman"/>
          <w:szCs w:val="24"/>
        </w:rPr>
        <w:t>.</w:t>
      </w:r>
    </w:p>
    <w:p w:rsidR="005F5F84" w:rsidRPr="00B80ABF" w:rsidRDefault="00663FB1" w:rsidP="005F5F84">
      <w:pPr>
        <w:widowControl/>
        <w:spacing w:before="100" w:beforeAutospacing="1" w:after="100" w:afterAutospacing="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Training link</w:t>
      </w:r>
    </w:p>
    <w:p w:rsidR="00770D93" w:rsidRPr="00952801" w:rsidRDefault="0044637C" w:rsidP="008F6D6A">
      <w:pPr>
        <w:widowControl/>
        <w:numPr>
          <w:ilvl w:val="0"/>
          <w:numId w:val="13"/>
        </w:numPr>
        <w:spacing w:before="100" w:beforeAutospacing="1" w:after="100" w:afterAutospacing="1" w:line="336" w:lineRule="atLeast"/>
        <w:rPr>
          <w:rFonts w:ascii="Times New Roman" w:hAnsi="Times New Roman"/>
          <w:szCs w:val="24"/>
        </w:rPr>
      </w:pPr>
      <w:hyperlink r:id="rId19" w:tgtFrame="_blank" w:history="1">
        <w:r w:rsidR="0042150E">
          <w:rPr>
            <w:rStyle w:val="Hyperlink"/>
            <w:rFonts w:ascii="Times New Roman" w:hAnsi="Times New Roman"/>
            <w:szCs w:val="24"/>
          </w:rPr>
          <w:t>OIG Video on Reporting Fraud</w:t>
        </w:r>
      </w:hyperlink>
      <w:r w:rsidR="005F5F84" w:rsidRPr="005F5F84">
        <w:rPr>
          <w:rFonts w:ascii="Times New Roman" w:hAnsi="Times New Roman"/>
          <w:szCs w:val="24"/>
        </w:rPr>
        <w:t xml:space="preserve"> </w:t>
      </w:r>
    </w:p>
    <w:p w:rsidR="007B6CA2" w:rsidRPr="00EE1AD3" w:rsidRDefault="007B6CA2" w:rsidP="008F6D6A">
      <w:pPr>
        <w:tabs>
          <w:tab w:val="left" w:pos="1080"/>
        </w:tabs>
        <w:rPr>
          <w:rFonts w:ascii="Times New Roman" w:hAnsi="Times New Roman"/>
          <w:b/>
        </w:rPr>
      </w:pPr>
    </w:p>
    <w:sectPr w:rsidR="007B6CA2" w:rsidRPr="00EE1AD3" w:rsidSect="007234C9">
      <w:endnotePr>
        <w:numFmt w:val="decimal"/>
      </w:endnotePr>
      <w:type w:val="continuous"/>
      <w:pgSz w:w="12240" w:h="15840"/>
      <w:pgMar w:top="360" w:right="1440" w:bottom="331" w:left="1440" w:header="360" w:footer="331" w:gutter="0"/>
      <w:pgNumType w:start="1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967" w:rsidRDefault="00336967">
      <w:pPr>
        <w:spacing w:line="20" w:lineRule="exact"/>
      </w:pPr>
    </w:p>
  </w:endnote>
  <w:endnote w:type="continuationSeparator" w:id="0">
    <w:p w:rsidR="00336967" w:rsidRDefault="00336967">
      <w:r>
        <w:t xml:space="preserve"> </w:t>
      </w:r>
    </w:p>
  </w:endnote>
  <w:endnote w:type="continuationNotice" w:id="1">
    <w:p w:rsidR="00336967" w:rsidRDefault="0033696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2293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4EEE" w:rsidRDefault="00F64E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3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3253" w:rsidRDefault="00B832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36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3253" w:rsidRDefault="00B832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3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3253" w:rsidRDefault="00B832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967" w:rsidRDefault="00336967">
      <w:r>
        <w:separator/>
      </w:r>
    </w:p>
  </w:footnote>
  <w:footnote w:type="continuationSeparator" w:id="0">
    <w:p w:rsidR="00336967" w:rsidRDefault="00336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4263AFC"/>
    <w:multiLevelType w:val="hybridMultilevel"/>
    <w:tmpl w:val="B92205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D6175"/>
    <w:multiLevelType w:val="multilevel"/>
    <w:tmpl w:val="2CD68A8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16AF5"/>
    <w:multiLevelType w:val="singleLevel"/>
    <w:tmpl w:val="F85A19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1B58251B"/>
    <w:multiLevelType w:val="hybridMultilevel"/>
    <w:tmpl w:val="659A4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31EA0"/>
    <w:multiLevelType w:val="hybridMultilevel"/>
    <w:tmpl w:val="2BB0461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D1B523D"/>
    <w:multiLevelType w:val="hybridMultilevel"/>
    <w:tmpl w:val="7820C7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DC0351"/>
    <w:multiLevelType w:val="multilevel"/>
    <w:tmpl w:val="E338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8150A"/>
    <w:multiLevelType w:val="hybridMultilevel"/>
    <w:tmpl w:val="AE58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D45A57"/>
    <w:multiLevelType w:val="hybridMultilevel"/>
    <w:tmpl w:val="2D9C36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D151D"/>
    <w:multiLevelType w:val="hybridMultilevel"/>
    <w:tmpl w:val="50EA7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4558D"/>
    <w:multiLevelType w:val="multilevel"/>
    <w:tmpl w:val="88C4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545D16"/>
    <w:multiLevelType w:val="hybridMultilevel"/>
    <w:tmpl w:val="95A20C1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6C30DE0"/>
    <w:multiLevelType w:val="hybridMultilevel"/>
    <w:tmpl w:val="F08A8F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7CB1A42"/>
    <w:multiLevelType w:val="hybridMultilevel"/>
    <w:tmpl w:val="31388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E7128"/>
    <w:multiLevelType w:val="multilevel"/>
    <w:tmpl w:val="CCFC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1B4F1D"/>
    <w:multiLevelType w:val="multilevel"/>
    <w:tmpl w:val="8A72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6F86E3C"/>
    <w:multiLevelType w:val="hybridMultilevel"/>
    <w:tmpl w:val="8878FF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DF63B9"/>
    <w:multiLevelType w:val="hybridMultilevel"/>
    <w:tmpl w:val="DC0C383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E1409D9"/>
    <w:multiLevelType w:val="hybridMultilevel"/>
    <w:tmpl w:val="DF16D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182C46"/>
    <w:multiLevelType w:val="hybridMultilevel"/>
    <w:tmpl w:val="78F02C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3642F1C"/>
    <w:multiLevelType w:val="hybridMultilevel"/>
    <w:tmpl w:val="F1609A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54D0FDC"/>
    <w:multiLevelType w:val="multilevel"/>
    <w:tmpl w:val="2D1C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95767A"/>
    <w:multiLevelType w:val="multilevel"/>
    <w:tmpl w:val="13C8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3B0189"/>
    <w:multiLevelType w:val="hybridMultilevel"/>
    <w:tmpl w:val="4A76E1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AFF6AB1"/>
    <w:multiLevelType w:val="hybridMultilevel"/>
    <w:tmpl w:val="E26C0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8"/>
  </w:num>
  <w:num w:numId="4">
    <w:abstractNumId w:val="22"/>
  </w:num>
  <w:num w:numId="5">
    <w:abstractNumId w:val="3"/>
  </w:num>
  <w:num w:numId="6">
    <w:abstractNumId w:val="24"/>
  </w:num>
  <w:num w:numId="7">
    <w:abstractNumId w:val="9"/>
  </w:num>
  <w:num w:numId="8">
    <w:abstractNumId w:val="21"/>
  </w:num>
  <w:num w:numId="9">
    <w:abstractNumId w:val="6"/>
  </w:num>
  <w:num w:numId="10">
    <w:abstractNumId w:val="11"/>
  </w:num>
  <w:num w:numId="11">
    <w:abstractNumId w:val="4"/>
  </w:num>
  <w:num w:numId="12">
    <w:abstractNumId w:val="1"/>
  </w:num>
  <w:num w:numId="13">
    <w:abstractNumId w:val="15"/>
  </w:num>
  <w:num w:numId="14">
    <w:abstractNumId w:val="10"/>
  </w:num>
  <w:num w:numId="15">
    <w:abstractNumId w:val="14"/>
  </w:num>
  <w:num w:numId="16">
    <w:abstractNumId w:val="8"/>
  </w:num>
  <w:num w:numId="17">
    <w:abstractNumId w:val="16"/>
  </w:num>
  <w:num w:numId="18">
    <w:abstractNumId w:val="5"/>
  </w:num>
  <w:num w:numId="19">
    <w:abstractNumId w:val="0"/>
  </w:num>
  <w:num w:numId="20">
    <w:abstractNumId w:val="23"/>
  </w:num>
  <w:num w:numId="21">
    <w:abstractNumId w:val="13"/>
  </w:num>
  <w:num w:numId="22">
    <w:abstractNumId w:val="17"/>
  </w:num>
  <w:num w:numId="23">
    <w:abstractNumId w:val="7"/>
  </w:num>
  <w:num w:numId="24">
    <w:abstractNumId w:val="19"/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DB"/>
    <w:rsid w:val="00005831"/>
    <w:rsid w:val="00005B9E"/>
    <w:rsid w:val="000234F1"/>
    <w:rsid w:val="00031741"/>
    <w:rsid w:val="000423E1"/>
    <w:rsid w:val="00057D92"/>
    <w:rsid w:val="0006176F"/>
    <w:rsid w:val="00061EDF"/>
    <w:rsid w:val="00072344"/>
    <w:rsid w:val="000A0430"/>
    <w:rsid w:val="000B3526"/>
    <w:rsid w:val="000B352E"/>
    <w:rsid w:val="000B61B6"/>
    <w:rsid w:val="000C5D8F"/>
    <w:rsid w:val="000D498F"/>
    <w:rsid w:val="000E0A38"/>
    <w:rsid w:val="000E360A"/>
    <w:rsid w:val="000E4208"/>
    <w:rsid w:val="00132BFA"/>
    <w:rsid w:val="001337F2"/>
    <w:rsid w:val="00163837"/>
    <w:rsid w:val="00163E89"/>
    <w:rsid w:val="00183AF1"/>
    <w:rsid w:val="00185D29"/>
    <w:rsid w:val="0018734B"/>
    <w:rsid w:val="001972E3"/>
    <w:rsid w:val="001A2B39"/>
    <w:rsid w:val="001A2BA0"/>
    <w:rsid w:val="001A3E62"/>
    <w:rsid w:val="001E2CD1"/>
    <w:rsid w:val="00201E69"/>
    <w:rsid w:val="002064A1"/>
    <w:rsid w:val="0022083D"/>
    <w:rsid w:val="00227AC6"/>
    <w:rsid w:val="00234F95"/>
    <w:rsid w:val="00240412"/>
    <w:rsid w:val="00241C71"/>
    <w:rsid w:val="002C01E5"/>
    <w:rsid w:val="002D0650"/>
    <w:rsid w:val="002D56BE"/>
    <w:rsid w:val="002E4C25"/>
    <w:rsid w:val="00320A71"/>
    <w:rsid w:val="003219AD"/>
    <w:rsid w:val="0032579B"/>
    <w:rsid w:val="00331378"/>
    <w:rsid w:val="003348DD"/>
    <w:rsid w:val="00336967"/>
    <w:rsid w:val="003400D7"/>
    <w:rsid w:val="00344DA1"/>
    <w:rsid w:val="003613DA"/>
    <w:rsid w:val="00365A02"/>
    <w:rsid w:val="00381F2F"/>
    <w:rsid w:val="003C06C2"/>
    <w:rsid w:val="003C7702"/>
    <w:rsid w:val="003D09DB"/>
    <w:rsid w:val="003E6F5F"/>
    <w:rsid w:val="003F3ACA"/>
    <w:rsid w:val="003F4F7A"/>
    <w:rsid w:val="003F5C27"/>
    <w:rsid w:val="0042150E"/>
    <w:rsid w:val="0042252C"/>
    <w:rsid w:val="00427CA8"/>
    <w:rsid w:val="0043384A"/>
    <w:rsid w:val="00440CB9"/>
    <w:rsid w:val="0044637C"/>
    <w:rsid w:val="00472A6E"/>
    <w:rsid w:val="00473ABF"/>
    <w:rsid w:val="004A2BBA"/>
    <w:rsid w:val="004A387D"/>
    <w:rsid w:val="004A4C67"/>
    <w:rsid w:val="004B057E"/>
    <w:rsid w:val="004B7830"/>
    <w:rsid w:val="004F438F"/>
    <w:rsid w:val="0050555B"/>
    <w:rsid w:val="00505F1A"/>
    <w:rsid w:val="00516A6D"/>
    <w:rsid w:val="00530E43"/>
    <w:rsid w:val="00533091"/>
    <w:rsid w:val="005532F7"/>
    <w:rsid w:val="00560948"/>
    <w:rsid w:val="00560C33"/>
    <w:rsid w:val="00565D60"/>
    <w:rsid w:val="00577959"/>
    <w:rsid w:val="005863C9"/>
    <w:rsid w:val="00591AE1"/>
    <w:rsid w:val="00593CC3"/>
    <w:rsid w:val="00596DFB"/>
    <w:rsid w:val="005B0913"/>
    <w:rsid w:val="005B3F58"/>
    <w:rsid w:val="005C2958"/>
    <w:rsid w:val="005F5F84"/>
    <w:rsid w:val="0061026F"/>
    <w:rsid w:val="00621BF3"/>
    <w:rsid w:val="00642C67"/>
    <w:rsid w:val="00663B30"/>
    <w:rsid w:val="00663FB1"/>
    <w:rsid w:val="00665FE5"/>
    <w:rsid w:val="00676065"/>
    <w:rsid w:val="00697891"/>
    <w:rsid w:val="006A54CC"/>
    <w:rsid w:val="006C0DC0"/>
    <w:rsid w:val="006D04CE"/>
    <w:rsid w:val="006D64C9"/>
    <w:rsid w:val="006E6A60"/>
    <w:rsid w:val="006F19F1"/>
    <w:rsid w:val="006F46DC"/>
    <w:rsid w:val="00700860"/>
    <w:rsid w:val="007234C9"/>
    <w:rsid w:val="00742D28"/>
    <w:rsid w:val="00745E43"/>
    <w:rsid w:val="007521F7"/>
    <w:rsid w:val="00770D93"/>
    <w:rsid w:val="00772669"/>
    <w:rsid w:val="0077469A"/>
    <w:rsid w:val="0077613F"/>
    <w:rsid w:val="00776637"/>
    <w:rsid w:val="0077750A"/>
    <w:rsid w:val="00786B3F"/>
    <w:rsid w:val="00787FC0"/>
    <w:rsid w:val="00792927"/>
    <w:rsid w:val="007B6CA2"/>
    <w:rsid w:val="007D1A0A"/>
    <w:rsid w:val="007E0A38"/>
    <w:rsid w:val="007E6EEA"/>
    <w:rsid w:val="008121A0"/>
    <w:rsid w:val="00814CA0"/>
    <w:rsid w:val="00817CCC"/>
    <w:rsid w:val="00825856"/>
    <w:rsid w:val="008347CA"/>
    <w:rsid w:val="00845465"/>
    <w:rsid w:val="00862BD9"/>
    <w:rsid w:val="00870D9C"/>
    <w:rsid w:val="00886CB3"/>
    <w:rsid w:val="008967D9"/>
    <w:rsid w:val="008A7ACE"/>
    <w:rsid w:val="008B75FD"/>
    <w:rsid w:val="008C1BCE"/>
    <w:rsid w:val="008C6766"/>
    <w:rsid w:val="008C6B2B"/>
    <w:rsid w:val="008D2BDA"/>
    <w:rsid w:val="008E3065"/>
    <w:rsid w:val="008F0F02"/>
    <w:rsid w:val="008F6D6A"/>
    <w:rsid w:val="00905006"/>
    <w:rsid w:val="009142ED"/>
    <w:rsid w:val="00952801"/>
    <w:rsid w:val="009571E9"/>
    <w:rsid w:val="009956B0"/>
    <w:rsid w:val="009B2894"/>
    <w:rsid w:val="009C0BEF"/>
    <w:rsid w:val="009C60EA"/>
    <w:rsid w:val="009D2957"/>
    <w:rsid w:val="009E1A09"/>
    <w:rsid w:val="00A00602"/>
    <w:rsid w:val="00A1451F"/>
    <w:rsid w:val="00A323AE"/>
    <w:rsid w:val="00A374E7"/>
    <w:rsid w:val="00A504CD"/>
    <w:rsid w:val="00A801B8"/>
    <w:rsid w:val="00A816E9"/>
    <w:rsid w:val="00AC5CF3"/>
    <w:rsid w:val="00AD72C8"/>
    <w:rsid w:val="00AD7A84"/>
    <w:rsid w:val="00AE5435"/>
    <w:rsid w:val="00AE703F"/>
    <w:rsid w:val="00B24CF4"/>
    <w:rsid w:val="00B3013C"/>
    <w:rsid w:val="00B370A3"/>
    <w:rsid w:val="00B45FA3"/>
    <w:rsid w:val="00B56F46"/>
    <w:rsid w:val="00B80ABF"/>
    <w:rsid w:val="00B83253"/>
    <w:rsid w:val="00BB1949"/>
    <w:rsid w:val="00BE77DF"/>
    <w:rsid w:val="00BF3AE5"/>
    <w:rsid w:val="00C01D9D"/>
    <w:rsid w:val="00C0251B"/>
    <w:rsid w:val="00C06590"/>
    <w:rsid w:val="00C22498"/>
    <w:rsid w:val="00C74AF5"/>
    <w:rsid w:val="00C85146"/>
    <w:rsid w:val="00C92830"/>
    <w:rsid w:val="00CA68EA"/>
    <w:rsid w:val="00CC4AB4"/>
    <w:rsid w:val="00CC64DC"/>
    <w:rsid w:val="00CF0484"/>
    <w:rsid w:val="00CF0A0B"/>
    <w:rsid w:val="00CF0F12"/>
    <w:rsid w:val="00D03A59"/>
    <w:rsid w:val="00D07E40"/>
    <w:rsid w:val="00D12A81"/>
    <w:rsid w:val="00D21BE6"/>
    <w:rsid w:val="00D42A4D"/>
    <w:rsid w:val="00D43275"/>
    <w:rsid w:val="00D51F88"/>
    <w:rsid w:val="00D53576"/>
    <w:rsid w:val="00D60AA1"/>
    <w:rsid w:val="00D673BB"/>
    <w:rsid w:val="00D7177C"/>
    <w:rsid w:val="00D80096"/>
    <w:rsid w:val="00D835E0"/>
    <w:rsid w:val="00DC3618"/>
    <w:rsid w:val="00DE324B"/>
    <w:rsid w:val="00DF443B"/>
    <w:rsid w:val="00E05AF7"/>
    <w:rsid w:val="00E11BA8"/>
    <w:rsid w:val="00E22D42"/>
    <w:rsid w:val="00E258EB"/>
    <w:rsid w:val="00E37602"/>
    <w:rsid w:val="00E42C1A"/>
    <w:rsid w:val="00E60D0D"/>
    <w:rsid w:val="00E837DB"/>
    <w:rsid w:val="00E838C9"/>
    <w:rsid w:val="00E90D8A"/>
    <w:rsid w:val="00E97BDF"/>
    <w:rsid w:val="00EA107D"/>
    <w:rsid w:val="00EA2A59"/>
    <w:rsid w:val="00EA7315"/>
    <w:rsid w:val="00EB3049"/>
    <w:rsid w:val="00EB6BF2"/>
    <w:rsid w:val="00ED2C54"/>
    <w:rsid w:val="00EE1AD3"/>
    <w:rsid w:val="00F00292"/>
    <w:rsid w:val="00F04806"/>
    <w:rsid w:val="00F64EEE"/>
    <w:rsid w:val="00F83B8F"/>
    <w:rsid w:val="00F94C41"/>
    <w:rsid w:val="00FA2040"/>
    <w:rsid w:val="00FB1A5B"/>
    <w:rsid w:val="00FD27CD"/>
    <w:rsid w:val="00FE11BE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1BF3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7234C9"/>
    <w:pPr>
      <w:keepNext/>
      <w:tabs>
        <w:tab w:val="center" w:pos="4680"/>
      </w:tabs>
      <w:suppressAutoHyphens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F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928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7234C9"/>
  </w:style>
  <w:style w:type="character" w:styleId="EndnoteReference">
    <w:name w:val="endnote reference"/>
    <w:basedOn w:val="DefaultParagraphFont"/>
    <w:semiHidden/>
    <w:rsid w:val="007234C9"/>
    <w:rPr>
      <w:vertAlign w:val="superscript"/>
    </w:rPr>
  </w:style>
  <w:style w:type="paragraph" w:styleId="FootnoteText">
    <w:name w:val="footnote text"/>
    <w:basedOn w:val="Normal"/>
    <w:semiHidden/>
    <w:rsid w:val="007234C9"/>
  </w:style>
  <w:style w:type="character" w:styleId="FootnoteReference">
    <w:name w:val="footnote reference"/>
    <w:basedOn w:val="DefaultParagraphFont"/>
    <w:semiHidden/>
    <w:rsid w:val="007234C9"/>
    <w:rPr>
      <w:vertAlign w:val="superscript"/>
    </w:rPr>
  </w:style>
  <w:style w:type="character" w:customStyle="1" w:styleId="DefaultParagraphFo">
    <w:name w:val="Default Paragraph Fo"/>
    <w:basedOn w:val="DefaultParagraphFont"/>
    <w:rsid w:val="007234C9"/>
  </w:style>
  <w:style w:type="paragraph" w:styleId="TOC1">
    <w:name w:val="toc 1"/>
    <w:basedOn w:val="Normal"/>
    <w:next w:val="Normal"/>
    <w:semiHidden/>
    <w:rsid w:val="007234C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7234C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7234C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7234C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7234C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7234C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7234C9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7234C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7234C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7234C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7234C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7234C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7234C9"/>
  </w:style>
  <w:style w:type="character" w:customStyle="1" w:styleId="EquationCaption">
    <w:name w:val="_Equation Caption"/>
    <w:rsid w:val="007234C9"/>
  </w:style>
  <w:style w:type="paragraph" w:styleId="DocumentMap">
    <w:name w:val="Document Map"/>
    <w:basedOn w:val="Normal"/>
    <w:semiHidden/>
    <w:rsid w:val="007234C9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7234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234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34C9"/>
  </w:style>
  <w:style w:type="character" w:styleId="Hyperlink">
    <w:name w:val="Hyperlink"/>
    <w:basedOn w:val="DefaultParagraphFont"/>
    <w:rsid w:val="00E837DB"/>
    <w:rPr>
      <w:color w:val="0000FF"/>
      <w:u w:val="single"/>
    </w:rPr>
  </w:style>
  <w:style w:type="paragraph" w:styleId="NormalWeb">
    <w:name w:val="Normal (Web)"/>
    <w:basedOn w:val="Normal"/>
    <w:uiPriority w:val="99"/>
    <w:rsid w:val="00E837DB"/>
    <w:pPr>
      <w:widowControl/>
      <w:spacing w:before="48" w:after="48"/>
    </w:pPr>
    <w:rPr>
      <w:rFonts w:ascii="Times New Roman" w:hAnsi="Times New Roman"/>
      <w:color w:val="000000"/>
      <w:szCs w:val="24"/>
    </w:rPr>
  </w:style>
  <w:style w:type="character" w:styleId="Strong">
    <w:name w:val="Strong"/>
    <w:basedOn w:val="DefaultParagraphFont"/>
    <w:uiPriority w:val="22"/>
    <w:qFormat/>
    <w:rsid w:val="00320A71"/>
    <w:rPr>
      <w:b/>
      <w:bCs/>
    </w:rPr>
  </w:style>
  <w:style w:type="character" w:styleId="Emphasis">
    <w:name w:val="Emphasis"/>
    <w:basedOn w:val="DefaultParagraphFont"/>
    <w:uiPriority w:val="20"/>
    <w:qFormat/>
    <w:rsid w:val="00320A71"/>
    <w:rPr>
      <w:i/>
      <w:iCs/>
    </w:rPr>
  </w:style>
  <w:style w:type="character" w:styleId="FollowedHyperlink">
    <w:name w:val="FollowedHyperlink"/>
    <w:basedOn w:val="DefaultParagraphFont"/>
    <w:rsid w:val="0077750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81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16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D56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56B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D56BE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2D5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56BE"/>
    <w:rPr>
      <w:rFonts w:ascii="Courier New" w:hAnsi="Courier New"/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5F5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C9283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ListParagraph">
    <w:name w:val="List Paragraph"/>
    <w:basedOn w:val="Normal"/>
    <w:uiPriority w:val="34"/>
    <w:qFormat/>
    <w:rsid w:val="00344DA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3384A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1BF3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7234C9"/>
    <w:pPr>
      <w:keepNext/>
      <w:tabs>
        <w:tab w:val="center" w:pos="4680"/>
      </w:tabs>
      <w:suppressAutoHyphens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F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928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7234C9"/>
  </w:style>
  <w:style w:type="character" w:styleId="EndnoteReference">
    <w:name w:val="endnote reference"/>
    <w:basedOn w:val="DefaultParagraphFont"/>
    <w:semiHidden/>
    <w:rsid w:val="007234C9"/>
    <w:rPr>
      <w:vertAlign w:val="superscript"/>
    </w:rPr>
  </w:style>
  <w:style w:type="paragraph" w:styleId="FootnoteText">
    <w:name w:val="footnote text"/>
    <w:basedOn w:val="Normal"/>
    <w:semiHidden/>
    <w:rsid w:val="007234C9"/>
  </w:style>
  <w:style w:type="character" w:styleId="FootnoteReference">
    <w:name w:val="footnote reference"/>
    <w:basedOn w:val="DefaultParagraphFont"/>
    <w:semiHidden/>
    <w:rsid w:val="007234C9"/>
    <w:rPr>
      <w:vertAlign w:val="superscript"/>
    </w:rPr>
  </w:style>
  <w:style w:type="character" w:customStyle="1" w:styleId="DefaultParagraphFo">
    <w:name w:val="Default Paragraph Fo"/>
    <w:basedOn w:val="DefaultParagraphFont"/>
    <w:rsid w:val="007234C9"/>
  </w:style>
  <w:style w:type="paragraph" w:styleId="TOC1">
    <w:name w:val="toc 1"/>
    <w:basedOn w:val="Normal"/>
    <w:next w:val="Normal"/>
    <w:semiHidden/>
    <w:rsid w:val="007234C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7234C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7234C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7234C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7234C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7234C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7234C9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7234C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7234C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7234C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7234C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7234C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7234C9"/>
  </w:style>
  <w:style w:type="character" w:customStyle="1" w:styleId="EquationCaption">
    <w:name w:val="_Equation Caption"/>
    <w:rsid w:val="007234C9"/>
  </w:style>
  <w:style w:type="paragraph" w:styleId="DocumentMap">
    <w:name w:val="Document Map"/>
    <w:basedOn w:val="Normal"/>
    <w:semiHidden/>
    <w:rsid w:val="007234C9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7234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234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34C9"/>
  </w:style>
  <w:style w:type="character" w:styleId="Hyperlink">
    <w:name w:val="Hyperlink"/>
    <w:basedOn w:val="DefaultParagraphFont"/>
    <w:rsid w:val="00E837DB"/>
    <w:rPr>
      <w:color w:val="0000FF"/>
      <w:u w:val="single"/>
    </w:rPr>
  </w:style>
  <w:style w:type="paragraph" w:styleId="NormalWeb">
    <w:name w:val="Normal (Web)"/>
    <w:basedOn w:val="Normal"/>
    <w:uiPriority w:val="99"/>
    <w:rsid w:val="00E837DB"/>
    <w:pPr>
      <w:widowControl/>
      <w:spacing w:before="48" w:after="48"/>
    </w:pPr>
    <w:rPr>
      <w:rFonts w:ascii="Times New Roman" w:hAnsi="Times New Roman"/>
      <w:color w:val="000000"/>
      <w:szCs w:val="24"/>
    </w:rPr>
  </w:style>
  <w:style w:type="character" w:styleId="Strong">
    <w:name w:val="Strong"/>
    <w:basedOn w:val="DefaultParagraphFont"/>
    <w:uiPriority w:val="22"/>
    <w:qFormat/>
    <w:rsid w:val="00320A71"/>
    <w:rPr>
      <w:b/>
      <w:bCs/>
    </w:rPr>
  </w:style>
  <w:style w:type="character" w:styleId="Emphasis">
    <w:name w:val="Emphasis"/>
    <w:basedOn w:val="DefaultParagraphFont"/>
    <w:uiPriority w:val="20"/>
    <w:qFormat/>
    <w:rsid w:val="00320A71"/>
    <w:rPr>
      <w:i/>
      <w:iCs/>
    </w:rPr>
  </w:style>
  <w:style w:type="character" w:styleId="FollowedHyperlink">
    <w:name w:val="FollowedHyperlink"/>
    <w:basedOn w:val="DefaultParagraphFont"/>
    <w:rsid w:val="0077750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81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16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D56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56B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D56BE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2D5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56BE"/>
    <w:rPr>
      <w:rFonts w:ascii="Courier New" w:hAnsi="Courier New"/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5F5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C9283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ListParagraph">
    <w:name w:val="List Paragraph"/>
    <w:basedOn w:val="Normal"/>
    <w:uiPriority w:val="34"/>
    <w:qFormat/>
    <w:rsid w:val="00344DA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3384A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0007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6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4751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604">
              <w:marLeft w:val="15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8090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licy.ssa.gov/poms.nsf/lnx/0423025005" TargetMode="External"/><Relationship Id="rId18" Type="http://schemas.openxmlformats.org/officeDocument/2006/relationships/hyperlink" Target="http://oig.ssa.gov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policy.ssa.gov/poms.nsf/lnx/0411006005" TargetMode="External"/><Relationship Id="rId17" Type="http://schemas.openxmlformats.org/officeDocument/2006/relationships/hyperlink" Target="http://electronic8551.ssahost.ba.ssa.gov/(S(w21y5pxj04aj4hnz5mcba2co))/e8551_intr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licy.ssa.gov/poms.nsf/lnx/042302501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secure.ssa.gov/apps10/poms.nsf/lnx/0411006025" TargetMode="External"/><Relationship Id="rId10" Type="http://schemas.openxmlformats.org/officeDocument/2006/relationships/footer" Target="footer1.xml"/><Relationship Id="rId19" Type="http://schemas.openxmlformats.org/officeDocument/2006/relationships/hyperlink" Target="http://oig.ssa.gov/report-fraud-waste-or-abus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olicy.ssa.gov/poms.nsf/lnx/0411006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16199-732A-4803-A4A3-4BE2198B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Palais</dc:creator>
  <cp:lastModifiedBy>889123</cp:lastModifiedBy>
  <cp:revision>4</cp:revision>
  <cp:lastPrinted>2012-11-30T12:19:00Z</cp:lastPrinted>
  <dcterms:created xsi:type="dcterms:W3CDTF">2013-01-22T16:39:00Z</dcterms:created>
  <dcterms:modified xsi:type="dcterms:W3CDTF">2013-01-22T19:28:00Z</dcterms:modified>
</cp:coreProperties>
</file>